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DEB12D" w14:textId="12CCA38D" w:rsidR="006607D0" w:rsidRPr="00ED270C" w:rsidRDefault="006607D0" w:rsidP="006607D0">
      <w:pPr>
        <w:tabs>
          <w:tab w:val="center" w:pos="4536"/>
          <w:tab w:val="right" w:pos="9356"/>
          <w:tab w:val="right" w:pos="9639"/>
        </w:tabs>
        <w:spacing w:after="0"/>
        <w:rPr>
          <w:rFonts w:ascii="Arial" w:eastAsia="Arial" w:hAnsi="Arial" w:cs="Arial"/>
          <w:b/>
          <w:bCs/>
          <w:sz w:val="24"/>
          <w:szCs w:val="24"/>
        </w:rPr>
      </w:pPr>
      <w:bookmarkStart w:id="0" w:name="_GoBack"/>
      <w:bookmarkEnd w:id="0"/>
      <w:r w:rsidRPr="00ED270C">
        <w:rPr>
          <w:rFonts w:ascii="Arial" w:eastAsia="Arial" w:hAnsi="Arial" w:cs="Arial"/>
          <w:b/>
          <w:bCs/>
          <w:sz w:val="24"/>
          <w:szCs w:val="24"/>
        </w:rPr>
        <w:t>3GPP TSG RAN WG1 Meeting #9</w:t>
      </w:r>
      <w:r>
        <w:rPr>
          <w:rFonts w:ascii="Arial" w:eastAsia="Arial" w:hAnsi="Arial" w:cs="Arial"/>
          <w:b/>
          <w:bCs/>
          <w:sz w:val="24"/>
          <w:szCs w:val="24"/>
        </w:rPr>
        <w:t>5</w:t>
      </w:r>
      <w:r w:rsidRPr="00ED270C">
        <w:rPr>
          <w:rFonts w:ascii="Arial" w:eastAsia="Arial" w:hAnsi="Arial" w:cs="Arial"/>
          <w:b/>
          <w:bCs/>
          <w:sz w:val="24"/>
          <w:szCs w:val="24"/>
        </w:rPr>
        <w:t xml:space="preserve">               </w:t>
      </w:r>
      <w:r>
        <w:rPr>
          <w:rFonts w:ascii="Arial" w:hAnsi="Arial" w:cs="Arial"/>
          <w:b/>
          <w:bCs/>
          <w:sz w:val="24"/>
        </w:rPr>
        <w:tab/>
      </w:r>
      <w:r w:rsidR="004F0DB0" w:rsidRPr="004F0DB0">
        <w:rPr>
          <w:rFonts w:ascii="Arial" w:hAnsi="Arial" w:cs="Arial"/>
          <w:b/>
          <w:bCs/>
          <w:sz w:val="24"/>
        </w:rPr>
        <w:t>R1-1812692</w:t>
      </w:r>
    </w:p>
    <w:p w14:paraId="033FD9CD" w14:textId="4FAB118B" w:rsidR="006607D0" w:rsidRDefault="006607D0" w:rsidP="006607D0">
      <w:pPr>
        <w:pStyle w:val="Header"/>
        <w:rPr>
          <w:rFonts w:cs="Arial"/>
          <w:bCs/>
          <w:sz w:val="24"/>
        </w:rPr>
      </w:pPr>
      <w:r w:rsidRPr="00C7260E">
        <w:rPr>
          <w:rFonts w:cs="Arial"/>
          <w:bCs/>
          <w:sz w:val="24"/>
        </w:rPr>
        <w:t>Spokane, USA, November 12</w:t>
      </w:r>
      <w:r w:rsidRPr="003C5264">
        <w:rPr>
          <w:rFonts w:cs="Arial"/>
          <w:bCs/>
          <w:sz w:val="24"/>
          <w:vertAlign w:val="superscript"/>
        </w:rPr>
        <w:t>th</w:t>
      </w:r>
      <w:r w:rsidR="005641EA">
        <w:rPr>
          <w:rFonts w:cs="Arial"/>
          <w:bCs/>
          <w:sz w:val="24"/>
        </w:rPr>
        <w:t xml:space="preserve"> </w:t>
      </w:r>
      <w:r w:rsidRPr="00C7260E">
        <w:rPr>
          <w:rFonts w:cs="Arial"/>
          <w:bCs/>
          <w:sz w:val="24"/>
        </w:rPr>
        <w:t>– 16</w:t>
      </w:r>
      <w:r w:rsidRPr="003C5264">
        <w:rPr>
          <w:rFonts w:cs="Arial"/>
          <w:bCs/>
          <w:sz w:val="24"/>
          <w:vertAlign w:val="superscript"/>
        </w:rPr>
        <w:t>th</w:t>
      </w:r>
      <w:r w:rsidRPr="00C7260E">
        <w:rPr>
          <w:rFonts w:cs="Arial"/>
          <w:bCs/>
          <w:sz w:val="24"/>
        </w:rPr>
        <w:t>, 2018</w:t>
      </w:r>
    </w:p>
    <w:p w14:paraId="4E847B5D" w14:textId="77777777" w:rsidR="006B10EA" w:rsidRPr="00715AC5" w:rsidRDefault="006B10EA" w:rsidP="00CA26CE">
      <w:pPr>
        <w:pStyle w:val="Header"/>
        <w:rPr>
          <w:bCs/>
          <w:noProof w:val="0"/>
          <w:sz w:val="24"/>
          <w:lang w:eastAsia="ja-JP"/>
        </w:rPr>
      </w:pPr>
    </w:p>
    <w:p w14:paraId="08AC4AD5" w14:textId="07F0B191" w:rsidR="0034111C" w:rsidRPr="001E5981" w:rsidRDefault="0034111C">
      <w:pPr>
        <w:pStyle w:val="CRCoverPage"/>
        <w:rPr>
          <w:rFonts w:cs="Arial"/>
          <w:b/>
          <w:bCs/>
          <w:sz w:val="24"/>
          <w:lang w:val="en-US" w:eastAsia="ja-JP"/>
        </w:rPr>
      </w:pPr>
      <w:r w:rsidRPr="00195EC5">
        <w:rPr>
          <w:rFonts w:cs="Arial"/>
          <w:b/>
          <w:bCs/>
          <w:sz w:val="24"/>
        </w:rPr>
        <w:t>Agenda item:</w:t>
      </w:r>
      <w:r w:rsidRPr="00195EC5">
        <w:rPr>
          <w:rFonts w:cs="Arial"/>
          <w:b/>
          <w:bCs/>
          <w:sz w:val="24"/>
        </w:rPr>
        <w:tab/>
      </w:r>
      <w:r w:rsidRPr="00195EC5">
        <w:rPr>
          <w:rFonts w:cs="Arial"/>
          <w:b/>
          <w:bCs/>
          <w:sz w:val="24"/>
        </w:rPr>
        <w:tab/>
      </w:r>
      <w:r w:rsidR="00AA27F5" w:rsidRPr="00772BF0">
        <w:rPr>
          <w:rFonts w:eastAsia="SimSun" w:cs="Arial"/>
          <w:b/>
          <w:bCs/>
          <w:sz w:val="24"/>
        </w:rPr>
        <w:t>7</w:t>
      </w:r>
      <w:r w:rsidR="00256B73" w:rsidRPr="00772BF0">
        <w:rPr>
          <w:rFonts w:eastAsia="SimSun" w:cs="Arial"/>
          <w:b/>
          <w:bCs/>
          <w:sz w:val="24"/>
        </w:rPr>
        <w:t>.</w:t>
      </w:r>
      <w:r w:rsidR="00B165B7">
        <w:rPr>
          <w:rFonts w:eastAsia="SimSun" w:cs="Arial"/>
          <w:b/>
          <w:bCs/>
          <w:sz w:val="24"/>
        </w:rPr>
        <w:t>2.2</w:t>
      </w:r>
      <w:r w:rsidR="006B10EA" w:rsidRPr="00772BF0">
        <w:rPr>
          <w:rFonts w:eastAsia="SimSun" w:cs="Arial"/>
          <w:b/>
          <w:bCs/>
          <w:sz w:val="24"/>
        </w:rPr>
        <w:t>.</w:t>
      </w:r>
      <w:r w:rsidR="00F83CD4">
        <w:rPr>
          <w:rFonts w:eastAsia="SimSun" w:cs="Arial"/>
          <w:b/>
          <w:bCs/>
          <w:sz w:val="24"/>
        </w:rPr>
        <w:t>4.</w:t>
      </w:r>
      <w:r w:rsidR="00772BF0" w:rsidRPr="00772BF0">
        <w:rPr>
          <w:rFonts w:eastAsia="SimSun" w:cs="Arial"/>
          <w:b/>
          <w:bCs/>
          <w:sz w:val="24"/>
        </w:rPr>
        <w:t>5</w:t>
      </w:r>
    </w:p>
    <w:p w14:paraId="54BF8606" w14:textId="6C255ADC"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B22CD3">
        <w:rPr>
          <w:rFonts w:ascii="Arial" w:hAnsi="Arial" w:cs="Arial"/>
          <w:b/>
          <w:bCs/>
          <w:sz w:val="24"/>
        </w:rPr>
        <w:t xml:space="preserve">Nokia </w:t>
      </w:r>
      <w:r w:rsidR="00013455" w:rsidRPr="00013455">
        <w:rPr>
          <w:rFonts w:ascii="Arial" w:hAnsi="Arial" w:cs="Arial"/>
          <w:b/>
          <w:bCs/>
          <w:sz w:val="24"/>
        </w:rPr>
        <w:t>Shanghai Bell</w:t>
      </w:r>
    </w:p>
    <w:p w14:paraId="52857A4E" w14:textId="54A33B6E" w:rsidR="0034111C" w:rsidRPr="0016316A" w:rsidRDefault="0034111C" w:rsidP="17124F94">
      <w:pPr>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582ACE" w:rsidRPr="00147202">
        <w:rPr>
          <w:rFonts w:ascii="Arial" w:hAnsi="Arial" w:cs="Arial"/>
          <w:b/>
          <w:bCs/>
          <w:sz w:val="24"/>
        </w:rPr>
        <w:t>On Maximum TX Power for UL Interlace Structures</w:t>
      </w:r>
      <w:r w:rsidR="00582ACE" w:rsidRPr="00147202" w:rsidDel="00147202">
        <w:rPr>
          <w:rFonts w:ascii="Arial" w:hAnsi="Arial" w:cs="Arial"/>
          <w:b/>
          <w:bCs/>
          <w:sz w:val="24"/>
        </w:rPr>
        <w:t xml:space="preserve"> </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5D2888C9" w:rsidR="00F76410" w:rsidRPr="00F76410" w:rsidRDefault="0034111C" w:rsidP="00F76410">
      <w:pPr>
        <w:pStyle w:val="Heading1"/>
      </w:pPr>
      <w:r w:rsidRPr="0016316A">
        <w:t>1</w:t>
      </w:r>
      <w:r w:rsidRPr="0016316A">
        <w:tab/>
      </w:r>
      <w:r w:rsidR="00EE7FA7" w:rsidRPr="0016316A">
        <w:t>Introduction</w:t>
      </w:r>
    </w:p>
    <w:p w14:paraId="67506707" w14:textId="416064EA" w:rsidR="00F76410" w:rsidRDefault="1CEFF1BD" w:rsidP="1CEFF1BD">
      <w:pPr>
        <w:spacing w:after="120"/>
        <w:jc w:val="both"/>
        <w:rPr>
          <w:rFonts w:eastAsia="Times New Roman"/>
          <w:lang w:val="en-US" w:eastAsia="fi-FI"/>
        </w:rPr>
      </w:pPr>
      <w:r w:rsidRPr="1CEFF1BD">
        <w:rPr>
          <w:rFonts w:eastAsia="Times New Roman"/>
          <w:lang w:val="en-US" w:eastAsia="fi-FI"/>
        </w:rPr>
        <w:t xml:space="preserve">During RAN plenary #78, the release 15 NR specifications supporting licensed band operation were approved. Before that a NR Study Item [1] dealing with NR-based access to unlicensed spectrum has been approved in RAN plenary </w:t>
      </w:r>
      <w:r w:rsidR="00AD61F5">
        <w:rPr>
          <w:rFonts w:eastAsia="Times New Roman"/>
          <w:lang w:val="en-US" w:eastAsia="fi-FI"/>
        </w:rPr>
        <w:t>#75</w:t>
      </w:r>
      <w:r w:rsidRPr="1CEFF1BD">
        <w:rPr>
          <w:rFonts w:eastAsia="Times New Roman"/>
          <w:lang w:val="en-US" w:eastAsia="fi-FI"/>
        </w:rPr>
        <w:t>.</w:t>
      </w:r>
    </w:p>
    <w:p w14:paraId="694B23F4" w14:textId="33299380" w:rsidR="00DC0CB2" w:rsidRDefault="00DC0CB2" w:rsidP="00DC0CB2">
      <w:pPr>
        <w:pStyle w:val="bullet"/>
        <w:numPr>
          <w:ilvl w:val="0"/>
          <w:numId w:val="0"/>
        </w:numPr>
        <w:rPr>
          <w:rFonts w:cs="Arial"/>
        </w:rPr>
      </w:pPr>
      <w:r>
        <w:rPr>
          <w:rFonts w:cs="Arial"/>
        </w:rPr>
        <w:t>This contribution deals with interlace structures for NR-U. The following agreements</w:t>
      </w:r>
      <w:r w:rsidR="00874B17">
        <w:rPr>
          <w:rFonts w:cs="Arial"/>
        </w:rPr>
        <w:t xml:space="preserve"> relevant to the considered topic</w:t>
      </w:r>
      <w:r>
        <w:rPr>
          <w:rFonts w:cs="Arial"/>
        </w:rPr>
        <w:t xml:space="preserve"> were made in RAN1#94 [2]</w:t>
      </w:r>
      <w:r w:rsidR="006607D0">
        <w:rPr>
          <w:rFonts w:cs="Arial"/>
        </w:rPr>
        <w:t xml:space="preserve"> and RAN1#94bis [3]</w:t>
      </w:r>
      <w:r>
        <w:rPr>
          <w:rFonts w:cs="Arial"/>
        </w:rPr>
        <w:t>:</w:t>
      </w:r>
    </w:p>
    <w:p w14:paraId="02AF31AB" w14:textId="77777777" w:rsidR="00DC0CB2" w:rsidRDefault="00DC0CB2" w:rsidP="00DC0CB2">
      <w:pPr>
        <w:pStyle w:val="bullet"/>
        <w:numPr>
          <w:ilvl w:val="0"/>
          <w:numId w:val="0"/>
        </w:numPr>
        <w:rPr>
          <w:rFonts w:cs="Arial"/>
        </w:rPr>
      </w:pPr>
    </w:p>
    <w:p w14:paraId="1611216D" w14:textId="50A96FA6" w:rsidR="00DC0CB2" w:rsidRPr="00FE36A5" w:rsidRDefault="00DC0CB2" w:rsidP="00DC0CB2">
      <w:pPr>
        <w:spacing w:after="0"/>
        <w:rPr>
          <w:sz w:val="18"/>
        </w:rPr>
      </w:pPr>
      <w:r w:rsidRPr="00FE36A5">
        <w:rPr>
          <w:sz w:val="18"/>
          <w:highlight w:val="green"/>
        </w:rPr>
        <w:t>Agreement:</w:t>
      </w:r>
      <w:r w:rsidR="006607D0">
        <w:rPr>
          <w:sz w:val="18"/>
        </w:rPr>
        <w:t xml:space="preserve"> </w:t>
      </w:r>
      <w:r w:rsidR="006607D0">
        <w:rPr>
          <w:rFonts w:cs="Arial"/>
        </w:rPr>
        <w:t>[2]</w:t>
      </w:r>
    </w:p>
    <w:p w14:paraId="2A3BFDD6" w14:textId="77777777" w:rsidR="00DC0CB2" w:rsidRPr="00FE36A5" w:rsidRDefault="00DC0CB2" w:rsidP="007618A3">
      <w:pPr>
        <w:pStyle w:val="ListParagraph"/>
        <w:numPr>
          <w:ilvl w:val="0"/>
          <w:numId w:val="8"/>
        </w:numPr>
        <w:jc w:val="both"/>
        <w:rPr>
          <w:i/>
          <w:sz w:val="18"/>
          <w:lang w:val="en-GB"/>
        </w:rPr>
      </w:pPr>
      <w:r w:rsidRPr="00FE36A5">
        <w:rPr>
          <w:i/>
          <w:sz w:val="18"/>
          <w:lang w:val="en-GB"/>
        </w:rPr>
        <w:t>For scenarios in which a block-interlaced waveform is used for PUCCH/PUSCH, it has been identified that from FDM-based user-multiplexing standpoint it can be beneficial to have UL channels on a common interlace structure, at least for PUSCH, PUCCH, associated DMRS, and potentially PRACH</w:t>
      </w:r>
    </w:p>
    <w:p w14:paraId="5A85BDCD" w14:textId="77777777" w:rsidR="00DC0CB2" w:rsidRPr="00FE36A5" w:rsidRDefault="00DC0CB2" w:rsidP="007618A3">
      <w:pPr>
        <w:pStyle w:val="ListParagraph"/>
        <w:numPr>
          <w:ilvl w:val="1"/>
          <w:numId w:val="8"/>
        </w:numPr>
        <w:jc w:val="both"/>
        <w:rPr>
          <w:i/>
          <w:sz w:val="18"/>
          <w:lang w:val="en-GB"/>
        </w:rPr>
      </w:pPr>
      <w:r w:rsidRPr="00FE36A5">
        <w:rPr>
          <w:i/>
          <w:sz w:val="18"/>
          <w:lang w:val="en-GB"/>
        </w:rPr>
        <w:t>Note: This is only from a user-multiplexing perspective. Other aspects of PRACH design need to be considered, i.e., timing estimation accuracy, miss detection rate, PAPR, RACH capacity, transmission power</w:t>
      </w:r>
    </w:p>
    <w:p w14:paraId="57CF511D" w14:textId="77777777" w:rsidR="00DC0CB2" w:rsidRPr="00FE36A5" w:rsidRDefault="00DC0CB2" w:rsidP="007618A3">
      <w:pPr>
        <w:pStyle w:val="ListParagraph"/>
        <w:numPr>
          <w:ilvl w:val="0"/>
          <w:numId w:val="8"/>
        </w:numPr>
        <w:jc w:val="both"/>
        <w:rPr>
          <w:i/>
          <w:sz w:val="18"/>
          <w:lang w:val="en-GB"/>
        </w:rPr>
      </w:pPr>
      <w:r w:rsidRPr="00FE36A5">
        <w:rPr>
          <w:i/>
          <w:sz w:val="18"/>
          <w:lang w:val="en-GB"/>
        </w:rPr>
        <w:t>For scenarios in which a contiguous allocation for PUSCH and PUCCH is used, it is beneficial to use contiguous resource allocation for PRACH</w:t>
      </w:r>
    </w:p>
    <w:p w14:paraId="4767B81A" w14:textId="77777777" w:rsidR="00DC0CB2" w:rsidRPr="00FE36A5" w:rsidRDefault="00DC0CB2" w:rsidP="007618A3">
      <w:pPr>
        <w:pStyle w:val="ListParagraph"/>
        <w:numPr>
          <w:ilvl w:val="0"/>
          <w:numId w:val="8"/>
        </w:numPr>
        <w:jc w:val="both"/>
        <w:rPr>
          <w:i/>
          <w:sz w:val="18"/>
          <w:lang w:val="en-GB"/>
        </w:rPr>
      </w:pPr>
      <w:r w:rsidRPr="00FE36A5">
        <w:rPr>
          <w:i/>
          <w:sz w:val="18"/>
          <w:lang w:val="en-GB"/>
        </w:rPr>
        <w:t xml:space="preserve">FFS: Potential LBT blocking due to TA difference between </w:t>
      </w:r>
      <w:proofErr w:type="spellStart"/>
      <w:r w:rsidRPr="00FE36A5">
        <w:rPr>
          <w:i/>
          <w:sz w:val="18"/>
          <w:lang w:val="en-GB"/>
        </w:rPr>
        <w:t>FDM’d</w:t>
      </w:r>
      <w:proofErr w:type="spellEnd"/>
      <w:r w:rsidRPr="00FE36A5">
        <w:rPr>
          <w:i/>
          <w:sz w:val="18"/>
          <w:lang w:val="en-GB"/>
        </w:rPr>
        <w:t xml:space="preserve"> PUSCH, PUCCH, and PRACH</w:t>
      </w:r>
    </w:p>
    <w:p w14:paraId="710E8CDE" w14:textId="77777777" w:rsidR="00DC0CB2" w:rsidRPr="00FE36A5" w:rsidRDefault="00DC0CB2" w:rsidP="00DC0CB2">
      <w:pPr>
        <w:spacing w:after="0"/>
        <w:rPr>
          <w:sz w:val="18"/>
          <w:lang w:eastAsia="x-none"/>
        </w:rPr>
      </w:pPr>
    </w:p>
    <w:p w14:paraId="563F0F2B" w14:textId="50803D8A" w:rsidR="00DC0CB2" w:rsidRPr="00FE36A5" w:rsidRDefault="00DC0CB2" w:rsidP="00DC0CB2">
      <w:pPr>
        <w:spacing w:after="0"/>
        <w:rPr>
          <w:sz w:val="18"/>
          <w:lang w:eastAsia="x-none"/>
        </w:rPr>
      </w:pPr>
      <w:r w:rsidRPr="00FE36A5">
        <w:rPr>
          <w:sz w:val="18"/>
          <w:highlight w:val="green"/>
          <w:lang w:eastAsia="x-none"/>
        </w:rPr>
        <w:t>Agreement:</w:t>
      </w:r>
      <w:r w:rsidR="006607D0">
        <w:rPr>
          <w:sz w:val="18"/>
          <w:lang w:eastAsia="x-none"/>
        </w:rPr>
        <w:t xml:space="preserve"> </w:t>
      </w:r>
      <w:r w:rsidR="006607D0">
        <w:rPr>
          <w:rFonts w:cs="Arial"/>
        </w:rPr>
        <w:t>[2]</w:t>
      </w:r>
    </w:p>
    <w:p w14:paraId="4C35BB76" w14:textId="77777777" w:rsidR="00DC0CB2" w:rsidRPr="00FE36A5" w:rsidRDefault="00DC0CB2" w:rsidP="007618A3">
      <w:pPr>
        <w:numPr>
          <w:ilvl w:val="0"/>
          <w:numId w:val="9"/>
        </w:numPr>
        <w:overflowPunct/>
        <w:autoSpaceDE/>
        <w:autoSpaceDN/>
        <w:adjustRightInd/>
        <w:spacing w:after="0"/>
        <w:textAlignment w:val="auto"/>
        <w:rPr>
          <w:i/>
          <w:sz w:val="18"/>
          <w:lang w:val="en-US" w:eastAsia="x-none"/>
        </w:rPr>
      </w:pPr>
      <w:r w:rsidRPr="00FE36A5">
        <w:rPr>
          <w:i/>
          <w:sz w:val="18"/>
          <w:lang w:val="en-US" w:eastAsia="x-none"/>
        </w:rPr>
        <w:t>For scenarios in which a block-interlaced waveform is used for UL transmission, a PRB-based block-interlace design has been identified as beneficial at least for 15 and 30 kHz SCS, and potentially for 60 kHz SCS</w:t>
      </w:r>
    </w:p>
    <w:p w14:paraId="44658BB6" w14:textId="77777777" w:rsidR="00DC0CB2" w:rsidRPr="00FE36A5" w:rsidRDefault="00DC0CB2" w:rsidP="007618A3">
      <w:pPr>
        <w:numPr>
          <w:ilvl w:val="1"/>
          <w:numId w:val="9"/>
        </w:numPr>
        <w:overflowPunct/>
        <w:autoSpaceDE/>
        <w:autoSpaceDN/>
        <w:adjustRightInd/>
        <w:spacing w:after="0"/>
        <w:textAlignment w:val="auto"/>
        <w:rPr>
          <w:i/>
          <w:sz w:val="18"/>
          <w:lang w:val="en-US" w:eastAsia="x-none"/>
        </w:rPr>
      </w:pPr>
      <w:r w:rsidRPr="00FE36A5">
        <w:rPr>
          <w:i/>
          <w:sz w:val="18"/>
          <w:lang w:val="en-US" w:eastAsia="x-none"/>
        </w:rPr>
        <w:t>Link budget limited cases with given PSD constraint</w:t>
      </w:r>
    </w:p>
    <w:p w14:paraId="06ADA9E6" w14:textId="77777777" w:rsidR="00DC0CB2" w:rsidRPr="00FE36A5" w:rsidRDefault="00DC0CB2" w:rsidP="007618A3">
      <w:pPr>
        <w:numPr>
          <w:ilvl w:val="2"/>
          <w:numId w:val="9"/>
        </w:numPr>
        <w:overflowPunct/>
        <w:autoSpaceDE/>
        <w:autoSpaceDN/>
        <w:adjustRightInd/>
        <w:spacing w:after="0"/>
        <w:textAlignment w:val="auto"/>
        <w:rPr>
          <w:i/>
          <w:sz w:val="18"/>
          <w:lang w:val="en-US" w:eastAsia="x-none"/>
        </w:rPr>
      </w:pPr>
      <w:r w:rsidRPr="00FE36A5">
        <w:rPr>
          <w:i/>
          <w:sz w:val="18"/>
          <w:lang w:val="en-US" w:eastAsia="x-none"/>
        </w:rPr>
        <w:t>It is observed that power boosting gains decrease with increasing SCS</w:t>
      </w:r>
    </w:p>
    <w:p w14:paraId="4F5B9BCB" w14:textId="77777777" w:rsidR="00DC0CB2" w:rsidRPr="00FE36A5" w:rsidRDefault="00DC0CB2" w:rsidP="007618A3">
      <w:pPr>
        <w:numPr>
          <w:ilvl w:val="1"/>
          <w:numId w:val="9"/>
        </w:numPr>
        <w:overflowPunct/>
        <w:autoSpaceDE/>
        <w:autoSpaceDN/>
        <w:adjustRightInd/>
        <w:spacing w:after="0"/>
        <w:textAlignment w:val="auto"/>
        <w:rPr>
          <w:i/>
          <w:sz w:val="18"/>
          <w:lang w:val="en-US" w:eastAsia="x-none"/>
        </w:rPr>
      </w:pPr>
      <w:r w:rsidRPr="00FE36A5">
        <w:rPr>
          <w:i/>
          <w:sz w:val="18"/>
          <w:lang w:val="en-US" w:eastAsia="x-none"/>
        </w:rPr>
        <w:t>As one option to efficiently meet the occupied channel bandwidth requirement</w:t>
      </w:r>
    </w:p>
    <w:p w14:paraId="0874A047" w14:textId="77777777" w:rsidR="00DC0CB2" w:rsidRPr="00FE36A5" w:rsidRDefault="00DC0CB2" w:rsidP="007618A3">
      <w:pPr>
        <w:numPr>
          <w:ilvl w:val="1"/>
          <w:numId w:val="9"/>
        </w:numPr>
        <w:overflowPunct/>
        <w:autoSpaceDE/>
        <w:autoSpaceDN/>
        <w:adjustRightInd/>
        <w:spacing w:after="0"/>
        <w:textAlignment w:val="auto"/>
        <w:rPr>
          <w:i/>
          <w:sz w:val="18"/>
          <w:lang w:val="en-US" w:eastAsia="x-none"/>
        </w:rPr>
      </w:pPr>
      <w:r w:rsidRPr="00FE36A5">
        <w:rPr>
          <w:i/>
          <w:sz w:val="18"/>
          <w:lang w:val="en-US" w:eastAsia="x-none"/>
        </w:rPr>
        <w:t xml:space="preserve">Comparatively less specification impact than Sub-PRB interlace design </w:t>
      </w:r>
    </w:p>
    <w:p w14:paraId="7D357BFC" w14:textId="77777777" w:rsidR="00DC0CB2" w:rsidRPr="00FE36A5" w:rsidRDefault="00DC0CB2" w:rsidP="007618A3">
      <w:pPr>
        <w:numPr>
          <w:ilvl w:val="0"/>
          <w:numId w:val="9"/>
        </w:numPr>
        <w:overflowPunct/>
        <w:autoSpaceDE/>
        <w:autoSpaceDN/>
        <w:adjustRightInd/>
        <w:spacing w:after="0"/>
        <w:textAlignment w:val="auto"/>
        <w:rPr>
          <w:i/>
          <w:sz w:val="18"/>
          <w:lang w:val="en-US" w:eastAsia="x-none"/>
        </w:rPr>
      </w:pPr>
      <w:r w:rsidRPr="00FE36A5">
        <w:rPr>
          <w:i/>
          <w:sz w:val="18"/>
          <w:lang w:val="en-US" w:eastAsia="x-none"/>
        </w:rPr>
        <w:t>Design for 60 kHz requires further discussion, e.g., sub-PRB vs. PRB-based block interlace designs</w:t>
      </w:r>
    </w:p>
    <w:p w14:paraId="07E27B98" w14:textId="77777777" w:rsidR="00DC0CB2" w:rsidRPr="00FE36A5" w:rsidRDefault="00DC0CB2" w:rsidP="007618A3">
      <w:pPr>
        <w:numPr>
          <w:ilvl w:val="0"/>
          <w:numId w:val="9"/>
        </w:numPr>
        <w:overflowPunct/>
        <w:autoSpaceDE/>
        <w:autoSpaceDN/>
        <w:adjustRightInd/>
        <w:spacing w:after="0"/>
        <w:textAlignment w:val="auto"/>
        <w:rPr>
          <w:i/>
          <w:sz w:val="18"/>
          <w:lang w:val="en-US" w:eastAsia="x-none"/>
        </w:rPr>
      </w:pPr>
      <w:r w:rsidRPr="00FE36A5">
        <w:rPr>
          <w:i/>
          <w:sz w:val="18"/>
          <w:lang w:val="en-US" w:eastAsia="x-none"/>
        </w:rPr>
        <w:t>The following has been observed for sub-PRB block interlace designs</w:t>
      </w:r>
    </w:p>
    <w:p w14:paraId="16AC323D" w14:textId="77777777" w:rsidR="00DC0CB2" w:rsidRPr="00FE36A5" w:rsidRDefault="00DC0CB2" w:rsidP="007618A3">
      <w:pPr>
        <w:numPr>
          <w:ilvl w:val="1"/>
          <w:numId w:val="9"/>
        </w:numPr>
        <w:overflowPunct/>
        <w:autoSpaceDE/>
        <w:autoSpaceDN/>
        <w:adjustRightInd/>
        <w:spacing w:after="0"/>
        <w:textAlignment w:val="auto"/>
        <w:rPr>
          <w:i/>
          <w:sz w:val="18"/>
          <w:lang w:val="en-US" w:eastAsia="x-none"/>
        </w:rPr>
      </w:pPr>
      <w:r w:rsidRPr="00FE36A5">
        <w:rPr>
          <w:i/>
          <w:sz w:val="18"/>
          <w:lang w:val="en-US" w:eastAsia="x-none"/>
        </w:rPr>
        <w:t>In some scenarios sub-PRB interlacing can be beneficial in terms of power boosting</w:t>
      </w:r>
    </w:p>
    <w:p w14:paraId="67101497" w14:textId="77777777" w:rsidR="00DC0CB2" w:rsidRPr="00FE36A5" w:rsidRDefault="00DC0CB2" w:rsidP="007618A3">
      <w:pPr>
        <w:numPr>
          <w:ilvl w:val="2"/>
          <w:numId w:val="9"/>
        </w:numPr>
        <w:overflowPunct/>
        <w:autoSpaceDE/>
        <w:autoSpaceDN/>
        <w:adjustRightInd/>
        <w:spacing w:after="0"/>
        <w:textAlignment w:val="auto"/>
        <w:rPr>
          <w:i/>
          <w:sz w:val="18"/>
          <w:lang w:val="en-US" w:eastAsia="x-none"/>
        </w:rPr>
      </w:pPr>
      <w:r w:rsidRPr="00FE36A5">
        <w:rPr>
          <w:i/>
          <w:sz w:val="18"/>
          <w:lang w:val="en-US" w:eastAsia="x-none"/>
        </w:rPr>
        <w:t>FFS: scenario details, e.g., small resource allocations</w:t>
      </w:r>
    </w:p>
    <w:p w14:paraId="6EF2DB2A" w14:textId="77777777" w:rsidR="00DC0CB2" w:rsidRPr="00FE36A5" w:rsidRDefault="00DC0CB2" w:rsidP="007618A3">
      <w:pPr>
        <w:numPr>
          <w:ilvl w:val="1"/>
          <w:numId w:val="9"/>
        </w:numPr>
        <w:overflowPunct/>
        <w:autoSpaceDE/>
        <w:autoSpaceDN/>
        <w:adjustRightInd/>
        <w:spacing w:after="0"/>
        <w:textAlignment w:val="auto"/>
        <w:rPr>
          <w:i/>
          <w:sz w:val="18"/>
          <w:lang w:val="en-US" w:eastAsia="x-none"/>
        </w:rPr>
      </w:pPr>
      <w:r w:rsidRPr="00FE36A5">
        <w:rPr>
          <w:i/>
          <w:sz w:val="18"/>
          <w:lang w:val="en-US" w:eastAsia="x-none"/>
        </w:rPr>
        <w:t>Sub-PRB interlace design has at least the following specification impact:</w:t>
      </w:r>
    </w:p>
    <w:p w14:paraId="75CED330" w14:textId="77777777" w:rsidR="00DC0CB2" w:rsidRPr="00FE36A5" w:rsidRDefault="00DC0CB2" w:rsidP="007618A3">
      <w:pPr>
        <w:numPr>
          <w:ilvl w:val="2"/>
          <w:numId w:val="9"/>
        </w:numPr>
        <w:overflowPunct/>
        <w:autoSpaceDE/>
        <w:autoSpaceDN/>
        <w:adjustRightInd/>
        <w:spacing w:after="0"/>
        <w:textAlignment w:val="auto"/>
        <w:rPr>
          <w:i/>
          <w:sz w:val="18"/>
          <w:lang w:val="en-US" w:eastAsia="x-none"/>
        </w:rPr>
      </w:pPr>
      <w:r w:rsidRPr="00FE36A5">
        <w:rPr>
          <w:i/>
          <w:sz w:val="18"/>
          <w:lang w:val="en-US" w:eastAsia="x-none"/>
        </w:rPr>
        <w:t>Reference signal design (e.g., DMRS)</w:t>
      </w:r>
    </w:p>
    <w:p w14:paraId="1A88DF3C" w14:textId="77777777" w:rsidR="00DC0CB2" w:rsidRPr="00FE36A5" w:rsidRDefault="00DC0CB2" w:rsidP="007618A3">
      <w:pPr>
        <w:numPr>
          <w:ilvl w:val="2"/>
          <w:numId w:val="9"/>
        </w:numPr>
        <w:overflowPunct/>
        <w:autoSpaceDE/>
        <w:autoSpaceDN/>
        <w:adjustRightInd/>
        <w:spacing w:after="0"/>
        <w:textAlignment w:val="auto"/>
        <w:rPr>
          <w:i/>
          <w:sz w:val="18"/>
          <w:lang w:val="en-US" w:eastAsia="x-none"/>
        </w:rPr>
      </w:pPr>
      <w:r w:rsidRPr="00FE36A5">
        <w:rPr>
          <w:i/>
          <w:sz w:val="18"/>
          <w:lang w:val="en-US" w:eastAsia="x-none"/>
        </w:rPr>
        <w:t>Channel estimation aspects</w:t>
      </w:r>
    </w:p>
    <w:p w14:paraId="0FE8D1F3" w14:textId="77777777" w:rsidR="00DC0CB2" w:rsidRPr="00FE36A5" w:rsidRDefault="00DC0CB2" w:rsidP="007618A3">
      <w:pPr>
        <w:numPr>
          <w:ilvl w:val="2"/>
          <w:numId w:val="9"/>
        </w:numPr>
        <w:overflowPunct/>
        <w:autoSpaceDE/>
        <w:autoSpaceDN/>
        <w:adjustRightInd/>
        <w:spacing w:after="0"/>
        <w:textAlignment w:val="auto"/>
        <w:rPr>
          <w:sz w:val="18"/>
          <w:lang w:val="en-US" w:eastAsia="x-none"/>
        </w:rPr>
      </w:pPr>
      <w:r w:rsidRPr="00FE36A5">
        <w:rPr>
          <w:i/>
          <w:sz w:val="18"/>
          <w:lang w:val="en-US" w:eastAsia="x-none"/>
        </w:rPr>
        <w:t>Resource allocation</w:t>
      </w:r>
    </w:p>
    <w:p w14:paraId="71CAFFE3" w14:textId="77777777" w:rsidR="00DC0CB2" w:rsidRPr="00FE36A5" w:rsidRDefault="00DC0CB2" w:rsidP="00DC0CB2">
      <w:pPr>
        <w:spacing w:after="0"/>
        <w:rPr>
          <w:sz w:val="18"/>
          <w:lang w:eastAsia="x-none"/>
        </w:rPr>
      </w:pPr>
    </w:p>
    <w:p w14:paraId="13C7928A" w14:textId="0FC3F47C" w:rsidR="00DC0CB2" w:rsidRPr="00FE36A5" w:rsidRDefault="00DC0CB2" w:rsidP="00DC0CB2">
      <w:pPr>
        <w:spacing w:after="0"/>
        <w:rPr>
          <w:sz w:val="18"/>
          <w:lang w:val="en-US" w:eastAsia="x-none"/>
        </w:rPr>
      </w:pPr>
      <w:r w:rsidRPr="00FE36A5">
        <w:rPr>
          <w:sz w:val="18"/>
          <w:highlight w:val="green"/>
          <w:lang w:val="en-US" w:eastAsia="x-none"/>
        </w:rPr>
        <w:t>Agreement:</w:t>
      </w:r>
      <w:r w:rsidR="006607D0">
        <w:rPr>
          <w:sz w:val="18"/>
          <w:lang w:val="en-US" w:eastAsia="x-none"/>
        </w:rPr>
        <w:t xml:space="preserve"> </w:t>
      </w:r>
      <w:r w:rsidR="006607D0">
        <w:rPr>
          <w:rFonts w:cs="Arial"/>
        </w:rPr>
        <w:t>[2]</w:t>
      </w:r>
    </w:p>
    <w:p w14:paraId="6A4D8156" w14:textId="77777777" w:rsidR="00DC0CB2" w:rsidRPr="00FE36A5" w:rsidRDefault="00DC0CB2" w:rsidP="007618A3">
      <w:pPr>
        <w:numPr>
          <w:ilvl w:val="0"/>
          <w:numId w:val="10"/>
        </w:numPr>
        <w:overflowPunct/>
        <w:autoSpaceDE/>
        <w:autoSpaceDN/>
        <w:adjustRightInd/>
        <w:spacing w:after="0"/>
        <w:textAlignment w:val="auto"/>
        <w:rPr>
          <w:i/>
          <w:sz w:val="18"/>
          <w:lang w:val="en-US" w:eastAsia="x-none"/>
        </w:rPr>
      </w:pPr>
      <w:r w:rsidRPr="00FE36A5">
        <w:rPr>
          <w:i/>
          <w:sz w:val="18"/>
          <w:lang w:val="en-US" w:eastAsia="x-none"/>
        </w:rPr>
        <w:t>It has been identified as beneficial to support a block-interlaced structure in which the number of interlaces (M) decreases with increasing SCS, and the nominal number of PRBs per interlace (N) is similar for each SCS (in a given bandwidth) at least for 15 and 30 kHz SCS, and potentially 60 kHz depending on supported interlace design</w:t>
      </w:r>
    </w:p>
    <w:p w14:paraId="3A67ABD7" w14:textId="77777777" w:rsidR="00DC0CB2" w:rsidRPr="00FE36A5" w:rsidRDefault="00DC0CB2" w:rsidP="007618A3">
      <w:pPr>
        <w:numPr>
          <w:ilvl w:val="0"/>
          <w:numId w:val="10"/>
        </w:numPr>
        <w:overflowPunct/>
        <w:autoSpaceDE/>
        <w:autoSpaceDN/>
        <w:adjustRightInd/>
        <w:spacing w:after="0"/>
        <w:textAlignment w:val="auto"/>
        <w:rPr>
          <w:i/>
          <w:sz w:val="18"/>
          <w:lang w:val="en-US" w:eastAsia="x-none"/>
        </w:rPr>
      </w:pPr>
      <w:r w:rsidRPr="00FE36A5">
        <w:rPr>
          <w:i/>
          <w:sz w:val="18"/>
          <w:lang w:val="en-US" w:eastAsia="x-none"/>
        </w:rPr>
        <w:t>FFS: M and N for each supported SCS</w:t>
      </w:r>
    </w:p>
    <w:p w14:paraId="36382AA7" w14:textId="77777777" w:rsidR="00DC0CB2" w:rsidRPr="00FE36A5" w:rsidRDefault="00DC0CB2" w:rsidP="007618A3">
      <w:pPr>
        <w:numPr>
          <w:ilvl w:val="0"/>
          <w:numId w:val="10"/>
        </w:numPr>
        <w:overflowPunct/>
        <w:autoSpaceDE/>
        <w:autoSpaceDN/>
        <w:adjustRightInd/>
        <w:spacing w:after="0"/>
        <w:textAlignment w:val="auto"/>
        <w:rPr>
          <w:sz w:val="18"/>
          <w:lang w:val="en-US" w:eastAsia="x-none"/>
        </w:rPr>
      </w:pPr>
      <w:r w:rsidRPr="00FE36A5">
        <w:rPr>
          <w:i/>
          <w:sz w:val="18"/>
          <w:lang w:val="en-US" w:eastAsia="x-none"/>
        </w:rPr>
        <w:t>FFS: 60 kHz in case a sub-PRB interlace is introduced</w:t>
      </w:r>
    </w:p>
    <w:p w14:paraId="23C91074" w14:textId="77777777" w:rsidR="00DC0CB2" w:rsidRPr="00FE36A5" w:rsidRDefault="00DC0CB2" w:rsidP="00DC0CB2">
      <w:pPr>
        <w:spacing w:after="0"/>
        <w:rPr>
          <w:sz w:val="18"/>
          <w:lang w:val="en-US" w:eastAsia="x-none"/>
        </w:rPr>
      </w:pPr>
    </w:p>
    <w:p w14:paraId="7388E610" w14:textId="34D303D5" w:rsidR="00DC0CB2" w:rsidRPr="00FE36A5" w:rsidRDefault="00DC0CB2" w:rsidP="00DC0CB2">
      <w:pPr>
        <w:spacing w:after="0"/>
        <w:rPr>
          <w:sz w:val="18"/>
          <w:lang w:val="en-US" w:eastAsia="x-none"/>
        </w:rPr>
      </w:pPr>
      <w:r w:rsidRPr="00FE36A5">
        <w:rPr>
          <w:sz w:val="18"/>
          <w:highlight w:val="green"/>
          <w:lang w:val="en-US" w:eastAsia="x-none"/>
        </w:rPr>
        <w:t>Agreement:</w:t>
      </w:r>
      <w:r w:rsidR="006607D0">
        <w:rPr>
          <w:sz w:val="18"/>
          <w:lang w:val="en-US" w:eastAsia="x-none"/>
        </w:rPr>
        <w:t xml:space="preserve"> </w:t>
      </w:r>
      <w:r w:rsidR="006607D0">
        <w:rPr>
          <w:rFonts w:cs="Arial"/>
        </w:rPr>
        <w:t>[2]</w:t>
      </w:r>
    </w:p>
    <w:p w14:paraId="65EEEF4B" w14:textId="77777777" w:rsidR="00DC0CB2" w:rsidRPr="00FE36A5" w:rsidRDefault="00DC0CB2" w:rsidP="007618A3">
      <w:pPr>
        <w:numPr>
          <w:ilvl w:val="0"/>
          <w:numId w:val="11"/>
        </w:numPr>
        <w:overflowPunct/>
        <w:autoSpaceDE/>
        <w:autoSpaceDN/>
        <w:adjustRightInd/>
        <w:spacing w:after="0"/>
        <w:ind w:left="644"/>
        <w:textAlignment w:val="auto"/>
        <w:rPr>
          <w:i/>
          <w:sz w:val="18"/>
          <w:lang w:val="en-US" w:eastAsia="x-none"/>
        </w:rPr>
      </w:pPr>
      <w:r w:rsidRPr="00FE36A5">
        <w:rPr>
          <w:i/>
          <w:sz w:val="18"/>
          <w:lang w:val="en-US" w:eastAsia="x-none"/>
        </w:rPr>
        <w:t xml:space="preserve">From a RAN1 perspective it has been identified that supporting a non-uniform interlace structure in which the number of PRBs per interlace </w:t>
      </w:r>
      <w:proofErr w:type="gramStart"/>
      <w:r w:rsidRPr="00FE36A5">
        <w:rPr>
          <w:i/>
          <w:sz w:val="18"/>
          <w:lang w:val="en-US" w:eastAsia="x-none"/>
        </w:rPr>
        <w:t>is allowed to</w:t>
      </w:r>
      <w:proofErr w:type="gramEnd"/>
      <w:r w:rsidRPr="00FE36A5">
        <w:rPr>
          <w:i/>
          <w:sz w:val="18"/>
          <w:lang w:val="en-US" w:eastAsia="x-none"/>
        </w:rPr>
        <w:t xml:space="preserve"> be different for different interlaces is beneficial from a spectrum utilization point of view</w:t>
      </w:r>
    </w:p>
    <w:p w14:paraId="1A5EF746" w14:textId="77777777" w:rsidR="00DC0CB2" w:rsidRPr="00FE36A5" w:rsidRDefault="00DC0CB2" w:rsidP="007618A3">
      <w:pPr>
        <w:numPr>
          <w:ilvl w:val="1"/>
          <w:numId w:val="11"/>
        </w:numPr>
        <w:overflowPunct/>
        <w:autoSpaceDE/>
        <w:autoSpaceDN/>
        <w:adjustRightInd/>
        <w:spacing w:after="0"/>
        <w:ind w:left="1364"/>
        <w:textAlignment w:val="auto"/>
        <w:rPr>
          <w:i/>
          <w:sz w:val="18"/>
          <w:lang w:val="en-US" w:eastAsia="x-none"/>
        </w:rPr>
      </w:pPr>
      <w:r w:rsidRPr="00FE36A5">
        <w:rPr>
          <w:i/>
          <w:sz w:val="18"/>
          <w:lang w:val="en-US" w:eastAsia="x-none"/>
        </w:rPr>
        <w:t>FFS: Exact number of PRBs per interlace for supported value(s) of M and N</w:t>
      </w:r>
    </w:p>
    <w:p w14:paraId="484108E7" w14:textId="77777777" w:rsidR="00DC0CB2" w:rsidRPr="00FE36A5" w:rsidRDefault="00DC0CB2" w:rsidP="007618A3">
      <w:pPr>
        <w:numPr>
          <w:ilvl w:val="2"/>
          <w:numId w:val="11"/>
        </w:numPr>
        <w:overflowPunct/>
        <w:autoSpaceDE/>
        <w:autoSpaceDN/>
        <w:adjustRightInd/>
        <w:spacing w:after="0"/>
        <w:ind w:left="2084"/>
        <w:textAlignment w:val="auto"/>
        <w:rPr>
          <w:i/>
          <w:sz w:val="18"/>
          <w:lang w:val="en-US" w:eastAsia="x-none"/>
        </w:rPr>
      </w:pPr>
      <w:r w:rsidRPr="00FE36A5">
        <w:rPr>
          <w:i/>
          <w:sz w:val="18"/>
          <w:lang w:val="en-US" w:eastAsia="x-none"/>
        </w:rPr>
        <w:t>Note: M is the number of interlaces and N is the nominal number of PRBs per interlace in a given bandwidth</w:t>
      </w:r>
    </w:p>
    <w:p w14:paraId="01FF62E8" w14:textId="4C969B11" w:rsidR="00DC0CB2" w:rsidRDefault="00DC0CB2" w:rsidP="007618A3">
      <w:pPr>
        <w:numPr>
          <w:ilvl w:val="1"/>
          <w:numId w:val="12"/>
        </w:numPr>
        <w:overflowPunct/>
        <w:autoSpaceDE/>
        <w:autoSpaceDN/>
        <w:adjustRightInd/>
        <w:spacing w:after="0"/>
        <w:ind w:left="1364"/>
        <w:textAlignment w:val="auto"/>
        <w:rPr>
          <w:i/>
          <w:sz w:val="18"/>
          <w:lang w:val="en-US" w:eastAsia="x-none"/>
        </w:rPr>
      </w:pPr>
      <w:r w:rsidRPr="00FE36A5">
        <w:rPr>
          <w:i/>
          <w:sz w:val="18"/>
          <w:lang w:val="en-US" w:eastAsia="x-none"/>
        </w:rPr>
        <w:t xml:space="preserve">FFS: </w:t>
      </w:r>
      <w:proofErr w:type="gramStart"/>
      <w:r w:rsidRPr="00FE36A5">
        <w:rPr>
          <w:i/>
          <w:sz w:val="18"/>
          <w:lang w:val="en-US" w:eastAsia="x-none"/>
        </w:rPr>
        <w:t>Whether or not</w:t>
      </w:r>
      <w:proofErr w:type="gramEnd"/>
      <w:r w:rsidRPr="00FE36A5">
        <w:rPr>
          <w:i/>
          <w:sz w:val="18"/>
          <w:lang w:val="en-US" w:eastAsia="x-none"/>
        </w:rPr>
        <w:t xml:space="preserve"> there are issues in the interlace design in the resource allocation to 2^n1*3^n2*5^n3 in the case of DFT-s-OFDM</w:t>
      </w:r>
    </w:p>
    <w:p w14:paraId="48C7B876" w14:textId="30FC662D" w:rsidR="006607D0" w:rsidRDefault="006607D0" w:rsidP="006607D0">
      <w:pPr>
        <w:overflowPunct/>
        <w:autoSpaceDE/>
        <w:autoSpaceDN/>
        <w:adjustRightInd/>
        <w:spacing w:after="0"/>
        <w:textAlignment w:val="auto"/>
        <w:rPr>
          <w:i/>
          <w:sz w:val="18"/>
          <w:lang w:val="en-US" w:eastAsia="x-none"/>
        </w:rPr>
      </w:pPr>
    </w:p>
    <w:p w14:paraId="7B7918FB" w14:textId="77777777" w:rsidR="004B3072" w:rsidRDefault="004B3072" w:rsidP="00E410F7">
      <w:pPr>
        <w:pStyle w:val="bullet"/>
        <w:numPr>
          <w:ilvl w:val="0"/>
          <w:numId w:val="0"/>
        </w:numPr>
        <w:spacing w:before="180" w:after="0"/>
        <w:rPr>
          <w:sz w:val="18"/>
          <w:szCs w:val="20"/>
          <w:highlight w:val="green"/>
        </w:rPr>
      </w:pPr>
    </w:p>
    <w:p w14:paraId="3D2BD03B" w14:textId="77777777" w:rsidR="004B3072" w:rsidRDefault="004B3072" w:rsidP="00E410F7">
      <w:pPr>
        <w:pStyle w:val="bullet"/>
        <w:numPr>
          <w:ilvl w:val="0"/>
          <w:numId w:val="0"/>
        </w:numPr>
        <w:spacing w:before="180" w:after="0"/>
        <w:rPr>
          <w:sz w:val="18"/>
          <w:szCs w:val="20"/>
          <w:highlight w:val="green"/>
        </w:rPr>
      </w:pPr>
    </w:p>
    <w:p w14:paraId="41814E01" w14:textId="6FC03E88" w:rsidR="006607D0" w:rsidRPr="006607D0" w:rsidRDefault="006607D0" w:rsidP="00E410F7">
      <w:pPr>
        <w:pStyle w:val="bullet"/>
        <w:numPr>
          <w:ilvl w:val="0"/>
          <w:numId w:val="0"/>
        </w:numPr>
        <w:spacing w:before="180" w:after="0"/>
        <w:rPr>
          <w:sz w:val="18"/>
        </w:rPr>
      </w:pPr>
      <w:r w:rsidRPr="006607D0">
        <w:rPr>
          <w:sz w:val="18"/>
          <w:szCs w:val="20"/>
          <w:highlight w:val="green"/>
        </w:rPr>
        <w:lastRenderedPageBreak/>
        <w:t>Agreement:</w:t>
      </w:r>
      <w:r w:rsidRPr="006607D0">
        <w:rPr>
          <w:sz w:val="18"/>
          <w:szCs w:val="20"/>
        </w:rPr>
        <w:t xml:space="preserve"> [3]</w:t>
      </w:r>
    </w:p>
    <w:p w14:paraId="189A65F1" w14:textId="77777777" w:rsidR="006607D0" w:rsidRPr="006607D0" w:rsidRDefault="006607D0" w:rsidP="00E410F7">
      <w:pPr>
        <w:numPr>
          <w:ilvl w:val="0"/>
          <w:numId w:val="12"/>
        </w:numPr>
        <w:overflowPunct/>
        <w:autoSpaceDE/>
        <w:autoSpaceDN/>
        <w:adjustRightInd/>
        <w:spacing w:after="0"/>
        <w:jc w:val="both"/>
        <w:textAlignment w:val="auto"/>
        <w:rPr>
          <w:i/>
          <w:sz w:val="18"/>
          <w:lang w:val="en-US" w:eastAsia="x-none"/>
        </w:rPr>
      </w:pPr>
      <w:r w:rsidRPr="006607D0">
        <w:rPr>
          <w:i/>
          <w:sz w:val="18"/>
          <w:lang w:val="en-US" w:eastAsia="x-none"/>
        </w:rPr>
        <w:t>Within a 20 MHz bandwidth, the following candidate PRB-based interlace designs have been identified where M is the number of interlaces and N is the number of PRBs per interlace in a 20 MHz bandwidth. Where two values are listed for N, it means that some interlaces have one more PRB than others (non-uniform interlace design):</w:t>
      </w:r>
    </w:p>
    <w:p w14:paraId="76457F67" w14:textId="77777777" w:rsidR="006607D0" w:rsidRPr="006607D0" w:rsidRDefault="006607D0" w:rsidP="00E410F7">
      <w:pPr>
        <w:numPr>
          <w:ilvl w:val="1"/>
          <w:numId w:val="12"/>
        </w:numPr>
        <w:overflowPunct/>
        <w:autoSpaceDE/>
        <w:autoSpaceDN/>
        <w:adjustRightInd/>
        <w:spacing w:after="0"/>
        <w:jc w:val="both"/>
        <w:textAlignment w:val="auto"/>
        <w:rPr>
          <w:i/>
          <w:sz w:val="18"/>
          <w:lang w:val="en-US" w:eastAsia="x-none"/>
        </w:rPr>
      </w:pPr>
      <w:r w:rsidRPr="006607D0">
        <w:rPr>
          <w:i/>
          <w:sz w:val="18"/>
          <w:lang w:val="en-US" w:eastAsia="x-none"/>
        </w:rPr>
        <w:t>15 kHz:</w:t>
      </w:r>
    </w:p>
    <w:p w14:paraId="63357CBD" w14:textId="77777777" w:rsidR="006607D0" w:rsidRPr="006607D0" w:rsidRDefault="006607D0" w:rsidP="00E410F7">
      <w:pPr>
        <w:numPr>
          <w:ilvl w:val="2"/>
          <w:numId w:val="12"/>
        </w:numPr>
        <w:overflowPunct/>
        <w:autoSpaceDE/>
        <w:autoSpaceDN/>
        <w:adjustRightInd/>
        <w:spacing w:after="0"/>
        <w:jc w:val="both"/>
        <w:textAlignment w:val="auto"/>
        <w:rPr>
          <w:i/>
          <w:sz w:val="18"/>
          <w:lang w:val="en-US" w:eastAsia="x-none"/>
        </w:rPr>
      </w:pPr>
      <w:r w:rsidRPr="006607D0">
        <w:rPr>
          <w:i/>
          <w:sz w:val="18"/>
          <w:lang w:val="en-US" w:eastAsia="x-none"/>
        </w:rPr>
        <w:t>M = 12, N = 8 or 9</w:t>
      </w:r>
    </w:p>
    <w:p w14:paraId="15FF5546" w14:textId="77777777" w:rsidR="006607D0" w:rsidRPr="006607D0" w:rsidRDefault="006607D0" w:rsidP="00E410F7">
      <w:pPr>
        <w:numPr>
          <w:ilvl w:val="2"/>
          <w:numId w:val="12"/>
        </w:numPr>
        <w:overflowPunct/>
        <w:autoSpaceDE/>
        <w:autoSpaceDN/>
        <w:adjustRightInd/>
        <w:spacing w:after="0"/>
        <w:jc w:val="both"/>
        <w:textAlignment w:val="auto"/>
        <w:rPr>
          <w:i/>
          <w:sz w:val="18"/>
          <w:lang w:val="en-US" w:eastAsia="x-none"/>
        </w:rPr>
      </w:pPr>
      <w:r w:rsidRPr="006607D0">
        <w:rPr>
          <w:i/>
          <w:sz w:val="18"/>
          <w:lang w:val="en-US" w:eastAsia="x-none"/>
        </w:rPr>
        <w:t>M = 10, N = 10 or 11</w:t>
      </w:r>
    </w:p>
    <w:p w14:paraId="7F772682" w14:textId="77777777" w:rsidR="006607D0" w:rsidRPr="006607D0" w:rsidRDefault="006607D0" w:rsidP="00E410F7">
      <w:pPr>
        <w:numPr>
          <w:ilvl w:val="2"/>
          <w:numId w:val="12"/>
        </w:numPr>
        <w:overflowPunct/>
        <w:autoSpaceDE/>
        <w:autoSpaceDN/>
        <w:adjustRightInd/>
        <w:spacing w:after="0"/>
        <w:jc w:val="both"/>
        <w:textAlignment w:val="auto"/>
        <w:rPr>
          <w:i/>
          <w:sz w:val="18"/>
          <w:lang w:val="en-US" w:eastAsia="x-none"/>
        </w:rPr>
      </w:pPr>
      <w:r w:rsidRPr="006607D0">
        <w:rPr>
          <w:i/>
          <w:sz w:val="18"/>
          <w:lang w:val="en-US" w:eastAsia="x-none"/>
        </w:rPr>
        <w:t>M = 8, N = 13 or 14</w:t>
      </w:r>
    </w:p>
    <w:p w14:paraId="190D3F64" w14:textId="77777777" w:rsidR="006607D0" w:rsidRPr="006607D0" w:rsidRDefault="006607D0" w:rsidP="00E410F7">
      <w:pPr>
        <w:numPr>
          <w:ilvl w:val="1"/>
          <w:numId w:val="12"/>
        </w:numPr>
        <w:overflowPunct/>
        <w:autoSpaceDE/>
        <w:autoSpaceDN/>
        <w:adjustRightInd/>
        <w:spacing w:after="0"/>
        <w:jc w:val="both"/>
        <w:textAlignment w:val="auto"/>
        <w:rPr>
          <w:i/>
          <w:sz w:val="18"/>
          <w:lang w:val="en-US" w:eastAsia="x-none"/>
        </w:rPr>
      </w:pPr>
      <w:r w:rsidRPr="006607D0">
        <w:rPr>
          <w:i/>
          <w:sz w:val="18"/>
          <w:lang w:val="en-US" w:eastAsia="x-none"/>
        </w:rPr>
        <w:t>30 kHz:</w:t>
      </w:r>
    </w:p>
    <w:p w14:paraId="2C45A40A" w14:textId="77777777" w:rsidR="006607D0" w:rsidRPr="006607D0" w:rsidRDefault="006607D0" w:rsidP="00E410F7">
      <w:pPr>
        <w:numPr>
          <w:ilvl w:val="2"/>
          <w:numId w:val="12"/>
        </w:numPr>
        <w:overflowPunct/>
        <w:autoSpaceDE/>
        <w:autoSpaceDN/>
        <w:adjustRightInd/>
        <w:spacing w:after="0"/>
        <w:jc w:val="both"/>
        <w:textAlignment w:val="auto"/>
        <w:rPr>
          <w:i/>
          <w:sz w:val="18"/>
          <w:lang w:val="en-US" w:eastAsia="x-none"/>
        </w:rPr>
      </w:pPr>
      <w:r w:rsidRPr="006607D0">
        <w:rPr>
          <w:i/>
          <w:sz w:val="18"/>
          <w:lang w:val="en-US" w:eastAsia="x-none"/>
        </w:rPr>
        <w:t>M = 6, N = 8 or 9</w:t>
      </w:r>
    </w:p>
    <w:p w14:paraId="06B2DCC4" w14:textId="77777777" w:rsidR="006607D0" w:rsidRPr="006607D0" w:rsidRDefault="006607D0" w:rsidP="00E410F7">
      <w:pPr>
        <w:numPr>
          <w:ilvl w:val="2"/>
          <w:numId w:val="12"/>
        </w:numPr>
        <w:overflowPunct/>
        <w:autoSpaceDE/>
        <w:autoSpaceDN/>
        <w:adjustRightInd/>
        <w:spacing w:after="0"/>
        <w:jc w:val="both"/>
        <w:textAlignment w:val="auto"/>
        <w:rPr>
          <w:i/>
          <w:sz w:val="18"/>
          <w:lang w:val="en-US" w:eastAsia="x-none"/>
        </w:rPr>
      </w:pPr>
      <w:r w:rsidRPr="006607D0">
        <w:rPr>
          <w:i/>
          <w:sz w:val="18"/>
          <w:lang w:val="en-US" w:eastAsia="x-none"/>
        </w:rPr>
        <w:t xml:space="preserve">M = 5, N </w:t>
      </w:r>
      <w:proofErr w:type="gramStart"/>
      <w:r w:rsidRPr="006607D0">
        <w:rPr>
          <w:i/>
          <w:sz w:val="18"/>
          <w:lang w:val="en-US" w:eastAsia="x-none"/>
        </w:rPr>
        <w:t>=  10</w:t>
      </w:r>
      <w:proofErr w:type="gramEnd"/>
      <w:r w:rsidRPr="006607D0">
        <w:rPr>
          <w:i/>
          <w:sz w:val="18"/>
          <w:lang w:val="en-US" w:eastAsia="x-none"/>
        </w:rPr>
        <w:t xml:space="preserve"> or 11</w:t>
      </w:r>
    </w:p>
    <w:p w14:paraId="16CC0979" w14:textId="77777777" w:rsidR="006607D0" w:rsidRPr="006607D0" w:rsidRDefault="006607D0" w:rsidP="00E410F7">
      <w:pPr>
        <w:numPr>
          <w:ilvl w:val="2"/>
          <w:numId w:val="12"/>
        </w:numPr>
        <w:overflowPunct/>
        <w:autoSpaceDE/>
        <w:autoSpaceDN/>
        <w:adjustRightInd/>
        <w:spacing w:after="0"/>
        <w:jc w:val="both"/>
        <w:textAlignment w:val="auto"/>
        <w:rPr>
          <w:i/>
          <w:sz w:val="18"/>
          <w:lang w:val="en-US" w:eastAsia="x-none"/>
        </w:rPr>
      </w:pPr>
      <w:r w:rsidRPr="006607D0">
        <w:rPr>
          <w:i/>
          <w:sz w:val="18"/>
          <w:lang w:val="en-US" w:eastAsia="x-none"/>
        </w:rPr>
        <w:t>M = 4, N = 12 or 13</w:t>
      </w:r>
    </w:p>
    <w:p w14:paraId="2C941843" w14:textId="77777777" w:rsidR="006607D0" w:rsidRPr="006607D0" w:rsidRDefault="006607D0" w:rsidP="00E410F7">
      <w:pPr>
        <w:numPr>
          <w:ilvl w:val="1"/>
          <w:numId w:val="12"/>
        </w:numPr>
        <w:overflowPunct/>
        <w:autoSpaceDE/>
        <w:autoSpaceDN/>
        <w:adjustRightInd/>
        <w:spacing w:after="0"/>
        <w:jc w:val="both"/>
        <w:textAlignment w:val="auto"/>
        <w:rPr>
          <w:i/>
          <w:sz w:val="18"/>
          <w:lang w:val="en-US" w:eastAsia="x-none"/>
        </w:rPr>
      </w:pPr>
      <w:r w:rsidRPr="006607D0">
        <w:rPr>
          <w:i/>
          <w:sz w:val="18"/>
          <w:lang w:val="en-US" w:eastAsia="x-none"/>
        </w:rPr>
        <w:t>60 kHz:</w:t>
      </w:r>
    </w:p>
    <w:p w14:paraId="487389BF" w14:textId="77777777" w:rsidR="006607D0" w:rsidRPr="006607D0" w:rsidRDefault="006607D0" w:rsidP="00E410F7">
      <w:pPr>
        <w:numPr>
          <w:ilvl w:val="2"/>
          <w:numId w:val="12"/>
        </w:numPr>
        <w:overflowPunct/>
        <w:autoSpaceDE/>
        <w:autoSpaceDN/>
        <w:adjustRightInd/>
        <w:spacing w:after="0"/>
        <w:jc w:val="both"/>
        <w:textAlignment w:val="auto"/>
        <w:rPr>
          <w:i/>
          <w:sz w:val="18"/>
          <w:lang w:val="en-US" w:eastAsia="x-none"/>
        </w:rPr>
      </w:pPr>
      <w:r w:rsidRPr="006607D0">
        <w:rPr>
          <w:i/>
          <w:sz w:val="18"/>
          <w:lang w:val="en-US" w:eastAsia="x-none"/>
        </w:rPr>
        <w:t>M = 4, N = 6</w:t>
      </w:r>
    </w:p>
    <w:p w14:paraId="13784233" w14:textId="77777777" w:rsidR="006607D0" w:rsidRPr="006607D0" w:rsidRDefault="006607D0" w:rsidP="00E410F7">
      <w:pPr>
        <w:numPr>
          <w:ilvl w:val="2"/>
          <w:numId w:val="12"/>
        </w:numPr>
        <w:overflowPunct/>
        <w:autoSpaceDE/>
        <w:autoSpaceDN/>
        <w:adjustRightInd/>
        <w:spacing w:after="0"/>
        <w:jc w:val="both"/>
        <w:textAlignment w:val="auto"/>
        <w:rPr>
          <w:i/>
          <w:sz w:val="18"/>
          <w:lang w:val="en-US" w:eastAsia="x-none"/>
        </w:rPr>
      </w:pPr>
      <w:r w:rsidRPr="006607D0">
        <w:rPr>
          <w:i/>
          <w:sz w:val="18"/>
          <w:lang w:val="en-US" w:eastAsia="x-none"/>
        </w:rPr>
        <w:t>M = 3, N = 8</w:t>
      </w:r>
    </w:p>
    <w:p w14:paraId="079061E4" w14:textId="77777777" w:rsidR="006607D0" w:rsidRPr="006607D0" w:rsidRDefault="006607D0" w:rsidP="00E410F7">
      <w:pPr>
        <w:numPr>
          <w:ilvl w:val="2"/>
          <w:numId w:val="12"/>
        </w:numPr>
        <w:overflowPunct/>
        <w:autoSpaceDE/>
        <w:autoSpaceDN/>
        <w:adjustRightInd/>
        <w:spacing w:after="0"/>
        <w:jc w:val="both"/>
        <w:textAlignment w:val="auto"/>
        <w:rPr>
          <w:i/>
          <w:sz w:val="18"/>
          <w:lang w:val="en-US" w:eastAsia="x-none"/>
        </w:rPr>
      </w:pPr>
      <w:r w:rsidRPr="006607D0">
        <w:rPr>
          <w:i/>
          <w:sz w:val="18"/>
          <w:lang w:val="en-US" w:eastAsia="x-none"/>
        </w:rPr>
        <w:t>M = 2, N = 12</w:t>
      </w:r>
    </w:p>
    <w:p w14:paraId="4908269E" w14:textId="77777777" w:rsidR="006607D0" w:rsidRPr="006607D0" w:rsidRDefault="006607D0" w:rsidP="00E410F7">
      <w:pPr>
        <w:numPr>
          <w:ilvl w:val="1"/>
          <w:numId w:val="12"/>
        </w:numPr>
        <w:overflowPunct/>
        <w:autoSpaceDE/>
        <w:autoSpaceDN/>
        <w:adjustRightInd/>
        <w:spacing w:after="0"/>
        <w:jc w:val="both"/>
        <w:textAlignment w:val="auto"/>
        <w:rPr>
          <w:i/>
          <w:sz w:val="18"/>
          <w:lang w:val="en-US" w:eastAsia="x-none"/>
        </w:rPr>
      </w:pPr>
      <w:r w:rsidRPr="006607D0">
        <w:rPr>
          <w:i/>
          <w:sz w:val="18"/>
          <w:lang w:val="en-US" w:eastAsia="x-none"/>
        </w:rPr>
        <w:t>60 kHz (assuming 26 PRBs is agreed by RAN4 in a 20 MHz bandwidth):</w:t>
      </w:r>
    </w:p>
    <w:p w14:paraId="58BE5D7A" w14:textId="77777777" w:rsidR="006607D0" w:rsidRPr="006607D0" w:rsidRDefault="006607D0" w:rsidP="00E410F7">
      <w:pPr>
        <w:numPr>
          <w:ilvl w:val="2"/>
          <w:numId w:val="12"/>
        </w:numPr>
        <w:overflowPunct/>
        <w:autoSpaceDE/>
        <w:autoSpaceDN/>
        <w:adjustRightInd/>
        <w:spacing w:after="0"/>
        <w:jc w:val="both"/>
        <w:textAlignment w:val="auto"/>
        <w:rPr>
          <w:i/>
          <w:sz w:val="18"/>
          <w:lang w:val="en-US" w:eastAsia="x-none"/>
        </w:rPr>
      </w:pPr>
      <w:r w:rsidRPr="006607D0">
        <w:rPr>
          <w:i/>
          <w:sz w:val="18"/>
          <w:lang w:val="en-US" w:eastAsia="x-none"/>
        </w:rPr>
        <w:t>M = 4, N = 6 or 7</w:t>
      </w:r>
    </w:p>
    <w:p w14:paraId="1A15089C" w14:textId="77777777" w:rsidR="006607D0" w:rsidRPr="006607D0" w:rsidRDefault="006607D0" w:rsidP="00E410F7">
      <w:pPr>
        <w:numPr>
          <w:ilvl w:val="2"/>
          <w:numId w:val="12"/>
        </w:numPr>
        <w:overflowPunct/>
        <w:autoSpaceDE/>
        <w:autoSpaceDN/>
        <w:adjustRightInd/>
        <w:spacing w:after="0"/>
        <w:jc w:val="both"/>
        <w:textAlignment w:val="auto"/>
        <w:rPr>
          <w:i/>
          <w:sz w:val="18"/>
          <w:lang w:val="en-US" w:eastAsia="x-none"/>
        </w:rPr>
      </w:pPr>
      <w:r w:rsidRPr="006607D0">
        <w:rPr>
          <w:i/>
          <w:sz w:val="18"/>
          <w:lang w:val="en-US" w:eastAsia="x-none"/>
        </w:rPr>
        <w:t>M = 2, N = 13</w:t>
      </w:r>
    </w:p>
    <w:p w14:paraId="33F802BE" w14:textId="77777777" w:rsidR="006607D0" w:rsidRPr="006607D0" w:rsidRDefault="006607D0" w:rsidP="00E410F7">
      <w:pPr>
        <w:numPr>
          <w:ilvl w:val="2"/>
          <w:numId w:val="12"/>
        </w:numPr>
        <w:overflowPunct/>
        <w:autoSpaceDE/>
        <w:autoSpaceDN/>
        <w:adjustRightInd/>
        <w:spacing w:after="0"/>
        <w:jc w:val="both"/>
        <w:textAlignment w:val="auto"/>
        <w:rPr>
          <w:i/>
          <w:sz w:val="18"/>
          <w:lang w:val="en-US" w:eastAsia="x-none"/>
        </w:rPr>
      </w:pPr>
      <w:r w:rsidRPr="006607D0">
        <w:rPr>
          <w:i/>
          <w:sz w:val="18"/>
          <w:lang w:val="en-US" w:eastAsia="x-none"/>
        </w:rPr>
        <w:t>M = 3, N = 8 or 9</w:t>
      </w:r>
    </w:p>
    <w:p w14:paraId="4C8E0418" w14:textId="77777777" w:rsidR="006607D0" w:rsidRPr="006607D0" w:rsidRDefault="006607D0" w:rsidP="00E410F7">
      <w:pPr>
        <w:numPr>
          <w:ilvl w:val="0"/>
          <w:numId w:val="12"/>
        </w:numPr>
        <w:overflowPunct/>
        <w:autoSpaceDE/>
        <w:autoSpaceDN/>
        <w:adjustRightInd/>
        <w:spacing w:after="0"/>
        <w:jc w:val="both"/>
        <w:textAlignment w:val="auto"/>
        <w:rPr>
          <w:i/>
          <w:sz w:val="18"/>
          <w:lang w:val="en-US" w:eastAsia="x-none"/>
        </w:rPr>
      </w:pPr>
      <w:r w:rsidRPr="006607D0">
        <w:rPr>
          <w:i/>
          <w:sz w:val="18"/>
          <w:lang w:val="en-US" w:eastAsia="x-none"/>
        </w:rPr>
        <w:t xml:space="preserve">It is up to RAN4 to investigate </w:t>
      </w:r>
      <w:proofErr w:type="gramStart"/>
      <w:r w:rsidRPr="006607D0">
        <w:rPr>
          <w:i/>
          <w:sz w:val="18"/>
          <w:lang w:val="en-US" w:eastAsia="x-none"/>
        </w:rPr>
        <w:t>whether or not</w:t>
      </w:r>
      <w:proofErr w:type="gramEnd"/>
      <w:r w:rsidRPr="006607D0">
        <w:rPr>
          <w:i/>
          <w:sz w:val="18"/>
          <w:lang w:val="en-US" w:eastAsia="x-none"/>
        </w:rPr>
        <w:t xml:space="preserve"> the non-uniform interlace structure has an impact on MPR/A-MPR requirements for PUSCH</w:t>
      </w:r>
    </w:p>
    <w:p w14:paraId="5DE8A7FC" w14:textId="7CD1DFE8" w:rsidR="006607D0" w:rsidRDefault="006607D0" w:rsidP="00E410F7">
      <w:pPr>
        <w:overflowPunct/>
        <w:autoSpaceDE/>
        <w:autoSpaceDN/>
        <w:adjustRightInd/>
        <w:spacing w:after="0"/>
        <w:textAlignment w:val="auto"/>
        <w:rPr>
          <w:i/>
          <w:sz w:val="18"/>
          <w:lang w:val="en-US" w:eastAsia="x-none"/>
        </w:rPr>
      </w:pPr>
    </w:p>
    <w:p w14:paraId="21975C47" w14:textId="483AF58B" w:rsidR="006607D0" w:rsidRPr="006607D0" w:rsidRDefault="006607D0" w:rsidP="00E410F7">
      <w:pPr>
        <w:pStyle w:val="bullet"/>
        <w:numPr>
          <w:ilvl w:val="0"/>
          <w:numId w:val="0"/>
        </w:numPr>
        <w:spacing w:before="180" w:after="0"/>
        <w:rPr>
          <w:sz w:val="18"/>
        </w:rPr>
      </w:pPr>
      <w:r w:rsidRPr="006607D0">
        <w:rPr>
          <w:sz w:val="18"/>
          <w:szCs w:val="20"/>
          <w:highlight w:val="green"/>
        </w:rPr>
        <w:t>Agreement:</w:t>
      </w:r>
      <w:r w:rsidRPr="006607D0">
        <w:rPr>
          <w:sz w:val="18"/>
          <w:szCs w:val="20"/>
        </w:rPr>
        <w:t xml:space="preserve"> [3]</w:t>
      </w:r>
    </w:p>
    <w:p w14:paraId="46BBE044" w14:textId="77777777" w:rsidR="006607D0" w:rsidRPr="006607D0" w:rsidRDefault="006607D0" w:rsidP="00E410F7">
      <w:pPr>
        <w:overflowPunct/>
        <w:autoSpaceDE/>
        <w:autoSpaceDN/>
        <w:adjustRightInd/>
        <w:spacing w:after="0"/>
        <w:ind w:firstLine="284"/>
        <w:jc w:val="both"/>
        <w:textAlignment w:val="auto"/>
        <w:rPr>
          <w:i/>
          <w:sz w:val="18"/>
          <w:lang w:val="en-US" w:eastAsia="x-none"/>
        </w:rPr>
      </w:pPr>
      <w:r w:rsidRPr="006607D0">
        <w:rPr>
          <w:i/>
          <w:sz w:val="18"/>
          <w:lang w:val="en-US" w:eastAsia="x-none"/>
        </w:rPr>
        <w:t>Capture the following in TR 38.889</w:t>
      </w:r>
    </w:p>
    <w:p w14:paraId="30976DB1" w14:textId="77777777" w:rsidR="006607D0" w:rsidRPr="006607D0" w:rsidRDefault="006607D0" w:rsidP="00E410F7">
      <w:pPr>
        <w:numPr>
          <w:ilvl w:val="0"/>
          <w:numId w:val="12"/>
        </w:numPr>
        <w:overflowPunct/>
        <w:autoSpaceDE/>
        <w:autoSpaceDN/>
        <w:adjustRightInd/>
        <w:spacing w:after="0"/>
        <w:jc w:val="both"/>
        <w:textAlignment w:val="auto"/>
        <w:rPr>
          <w:i/>
          <w:sz w:val="18"/>
          <w:lang w:val="en-US" w:eastAsia="x-none"/>
        </w:rPr>
      </w:pPr>
      <w:r w:rsidRPr="006607D0">
        <w:rPr>
          <w:i/>
          <w:sz w:val="18"/>
          <w:lang w:val="en-US" w:eastAsia="x-none"/>
        </w:rPr>
        <w:t>Both PRB and sub-PRB interlacing for 60 kHz have been studied. For sub-PRB interlacing the following aspects have been considered:</w:t>
      </w:r>
    </w:p>
    <w:p w14:paraId="3C57E2BD" w14:textId="77777777" w:rsidR="006607D0" w:rsidRPr="006607D0" w:rsidRDefault="006607D0" w:rsidP="00E410F7">
      <w:pPr>
        <w:numPr>
          <w:ilvl w:val="1"/>
          <w:numId w:val="12"/>
        </w:numPr>
        <w:overflowPunct/>
        <w:autoSpaceDE/>
        <w:autoSpaceDN/>
        <w:adjustRightInd/>
        <w:spacing w:after="0"/>
        <w:jc w:val="both"/>
        <w:textAlignment w:val="auto"/>
        <w:rPr>
          <w:i/>
          <w:sz w:val="18"/>
          <w:lang w:val="en-US" w:eastAsia="x-none"/>
        </w:rPr>
      </w:pPr>
      <w:r w:rsidRPr="006607D0">
        <w:rPr>
          <w:i/>
          <w:sz w:val="18"/>
          <w:lang w:val="en-US" w:eastAsia="x-none"/>
        </w:rPr>
        <w:t>Power boosting potential depending on resource allocation size</w:t>
      </w:r>
    </w:p>
    <w:p w14:paraId="12A2326C" w14:textId="77777777" w:rsidR="006607D0" w:rsidRPr="006607D0" w:rsidRDefault="006607D0" w:rsidP="00E410F7">
      <w:pPr>
        <w:numPr>
          <w:ilvl w:val="1"/>
          <w:numId w:val="12"/>
        </w:numPr>
        <w:overflowPunct/>
        <w:autoSpaceDE/>
        <w:autoSpaceDN/>
        <w:adjustRightInd/>
        <w:spacing w:after="0"/>
        <w:jc w:val="both"/>
        <w:textAlignment w:val="auto"/>
        <w:rPr>
          <w:i/>
          <w:sz w:val="18"/>
          <w:lang w:val="en-US" w:eastAsia="x-none"/>
        </w:rPr>
      </w:pPr>
      <w:r w:rsidRPr="006607D0">
        <w:rPr>
          <w:i/>
          <w:sz w:val="18"/>
          <w:lang w:val="en-US" w:eastAsia="x-none"/>
        </w:rPr>
        <w:t>PUSCH DMRS configuration aspects</w:t>
      </w:r>
    </w:p>
    <w:p w14:paraId="737510D4" w14:textId="77777777" w:rsidR="006607D0" w:rsidRPr="006607D0" w:rsidRDefault="006607D0" w:rsidP="00E410F7">
      <w:pPr>
        <w:numPr>
          <w:ilvl w:val="1"/>
          <w:numId w:val="12"/>
        </w:numPr>
        <w:overflowPunct/>
        <w:autoSpaceDE/>
        <w:autoSpaceDN/>
        <w:adjustRightInd/>
        <w:spacing w:after="0"/>
        <w:jc w:val="both"/>
        <w:textAlignment w:val="auto"/>
        <w:rPr>
          <w:i/>
          <w:sz w:val="18"/>
          <w:lang w:val="en-US" w:eastAsia="x-none"/>
        </w:rPr>
      </w:pPr>
      <w:r w:rsidRPr="006607D0">
        <w:rPr>
          <w:i/>
          <w:sz w:val="18"/>
          <w:lang w:val="en-US" w:eastAsia="x-none"/>
        </w:rPr>
        <w:t>Channel estimation performance</w:t>
      </w:r>
    </w:p>
    <w:p w14:paraId="6D138CAC" w14:textId="77777777" w:rsidR="006607D0" w:rsidRPr="006607D0" w:rsidRDefault="006607D0" w:rsidP="00E410F7">
      <w:pPr>
        <w:numPr>
          <w:ilvl w:val="1"/>
          <w:numId w:val="12"/>
        </w:numPr>
        <w:overflowPunct/>
        <w:autoSpaceDE/>
        <w:autoSpaceDN/>
        <w:adjustRightInd/>
        <w:spacing w:after="0"/>
        <w:jc w:val="both"/>
        <w:textAlignment w:val="auto"/>
        <w:rPr>
          <w:i/>
          <w:sz w:val="18"/>
          <w:lang w:val="en-US" w:eastAsia="x-none"/>
        </w:rPr>
      </w:pPr>
      <w:r w:rsidRPr="006607D0">
        <w:rPr>
          <w:i/>
          <w:sz w:val="18"/>
          <w:lang w:val="en-US" w:eastAsia="x-none"/>
        </w:rPr>
        <w:t>Number of REs per interlace unit</w:t>
      </w:r>
    </w:p>
    <w:p w14:paraId="40CEC641" w14:textId="7F637BC1" w:rsidR="006607D0" w:rsidRPr="006607D0" w:rsidRDefault="006607D0" w:rsidP="00E410F7">
      <w:pPr>
        <w:pStyle w:val="bullet"/>
        <w:numPr>
          <w:ilvl w:val="0"/>
          <w:numId w:val="0"/>
        </w:numPr>
        <w:spacing w:before="180" w:after="0"/>
        <w:rPr>
          <w:sz w:val="18"/>
        </w:rPr>
      </w:pPr>
      <w:r w:rsidRPr="006607D0">
        <w:rPr>
          <w:sz w:val="18"/>
          <w:szCs w:val="20"/>
          <w:highlight w:val="green"/>
        </w:rPr>
        <w:t>Agreement:</w:t>
      </w:r>
      <w:r w:rsidRPr="006607D0">
        <w:rPr>
          <w:sz w:val="18"/>
          <w:szCs w:val="20"/>
        </w:rPr>
        <w:t xml:space="preserve"> [3]</w:t>
      </w:r>
    </w:p>
    <w:p w14:paraId="57987857" w14:textId="77777777" w:rsidR="006607D0" w:rsidRPr="006607D0" w:rsidRDefault="006607D0" w:rsidP="00E410F7">
      <w:pPr>
        <w:overflowPunct/>
        <w:autoSpaceDE/>
        <w:autoSpaceDN/>
        <w:adjustRightInd/>
        <w:spacing w:after="0"/>
        <w:ind w:firstLine="284"/>
        <w:jc w:val="both"/>
        <w:textAlignment w:val="auto"/>
        <w:rPr>
          <w:i/>
          <w:sz w:val="18"/>
          <w:lang w:val="en-US" w:eastAsia="x-none"/>
        </w:rPr>
      </w:pPr>
      <w:r w:rsidRPr="006607D0">
        <w:rPr>
          <w:i/>
          <w:sz w:val="18"/>
          <w:lang w:val="en-US" w:eastAsia="x-none"/>
        </w:rPr>
        <w:t xml:space="preserve">For carriers with bandwidth larger than 20 MHz, two </w:t>
      </w:r>
      <w:proofErr w:type="gramStart"/>
      <w:r w:rsidRPr="006607D0">
        <w:rPr>
          <w:i/>
          <w:sz w:val="18"/>
          <w:lang w:val="en-US" w:eastAsia="x-none"/>
        </w:rPr>
        <w:t>candidate</w:t>
      </w:r>
      <w:proofErr w:type="gramEnd"/>
      <w:r w:rsidRPr="006607D0">
        <w:rPr>
          <w:i/>
          <w:sz w:val="18"/>
          <w:lang w:val="en-US" w:eastAsia="x-none"/>
        </w:rPr>
        <w:t xml:space="preserve"> interlace designs have been identified.</w:t>
      </w:r>
    </w:p>
    <w:p w14:paraId="0F4D7B73" w14:textId="77777777" w:rsidR="006607D0" w:rsidRPr="006607D0" w:rsidRDefault="006607D0" w:rsidP="00E410F7">
      <w:pPr>
        <w:numPr>
          <w:ilvl w:val="0"/>
          <w:numId w:val="12"/>
        </w:numPr>
        <w:overflowPunct/>
        <w:autoSpaceDE/>
        <w:autoSpaceDN/>
        <w:adjustRightInd/>
        <w:spacing w:after="0"/>
        <w:jc w:val="both"/>
        <w:textAlignment w:val="auto"/>
        <w:rPr>
          <w:i/>
          <w:sz w:val="18"/>
          <w:lang w:val="en-US" w:eastAsia="x-none"/>
        </w:rPr>
      </w:pPr>
      <w:r w:rsidRPr="006607D0">
        <w:rPr>
          <w:i/>
          <w:sz w:val="18"/>
          <w:lang w:val="en-US" w:eastAsia="x-none"/>
        </w:rPr>
        <w:t>Alt-1: Same interlace spacing for all interlaces regardless of carrier BW.</w:t>
      </w:r>
    </w:p>
    <w:p w14:paraId="2A859616" w14:textId="77777777" w:rsidR="006607D0" w:rsidRPr="006607D0" w:rsidRDefault="006607D0" w:rsidP="00E410F7">
      <w:pPr>
        <w:numPr>
          <w:ilvl w:val="1"/>
          <w:numId w:val="12"/>
        </w:numPr>
        <w:overflowPunct/>
        <w:autoSpaceDE/>
        <w:autoSpaceDN/>
        <w:adjustRightInd/>
        <w:spacing w:after="0"/>
        <w:jc w:val="both"/>
        <w:textAlignment w:val="auto"/>
        <w:rPr>
          <w:i/>
          <w:sz w:val="18"/>
          <w:lang w:val="en-US" w:eastAsia="x-none"/>
        </w:rPr>
      </w:pPr>
      <w:r w:rsidRPr="006607D0">
        <w:rPr>
          <w:i/>
          <w:sz w:val="18"/>
          <w:lang w:val="en-US" w:eastAsia="x-none"/>
        </w:rPr>
        <w:t>This alternative uses Point A as a reference for the interlace definition</w:t>
      </w:r>
    </w:p>
    <w:p w14:paraId="61DBA361" w14:textId="77777777" w:rsidR="006607D0" w:rsidRPr="006607D0" w:rsidRDefault="006607D0" w:rsidP="00E410F7">
      <w:pPr>
        <w:numPr>
          <w:ilvl w:val="0"/>
          <w:numId w:val="12"/>
        </w:numPr>
        <w:overflowPunct/>
        <w:autoSpaceDE/>
        <w:autoSpaceDN/>
        <w:adjustRightInd/>
        <w:spacing w:after="0"/>
        <w:jc w:val="both"/>
        <w:textAlignment w:val="auto"/>
        <w:rPr>
          <w:i/>
          <w:sz w:val="18"/>
          <w:lang w:val="en-US" w:eastAsia="x-none"/>
        </w:rPr>
      </w:pPr>
      <w:r w:rsidRPr="006607D0">
        <w:rPr>
          <w:i/>
          <w:sz w:val="18"/>
          <w:lang w:val="en-US" w:eastAsia="x-none"/>
        </w:rPr>
        <w:t xml:space="preserve">Alt-2: Interlacing defined on a sub-band (20 MHz) basis. (Note: Possible interlace spacing discontinuity at edges of sub-band). </w:t>
      </w:r>
    </w:p>
    <w:p w14:paraId="4217B4D4" w14:textId="77777777" w:rsidR="006607D0" w:rsidRPr="00CE136E" w:rsidRDefault="006607D0" w:rsidP="00E410F7">
      <w:pPr>
        <w:spacing w:after="0"/>
        <w:rPr>
          <w:sz w:val="18"/>
          <w:lang w:val="en-US"/>
        </w:rPr>
      </w:pPr>
    </w:p>
    <w:p w14:paraId="4454559B" w14:textId="45D9ED72" w:rsidR="00DC0CB2" w:rsidRDefault="00DC0CB2" w:rsidP="00DC0CB2">
      <w:pPr>
        <w:jc w:val="both"/>
      </w:pPr>
      <w:r>
        <w:t xml:space="preserve">In this contribution we evaluate the maximum achievable UE Tx power for different interlace structures. We discuss </w:t>
      </w:r>
      <w:r w:rsidRPr="006B500F">
        <w:t xml:space="preserve">uplink signal and channel structures </w:t>
      </w:r>
      <w:r>
        <w:t>in more details in an accompanying contribution [</w:t>
      </w:r>
      <w:r w:rsidR="006607D0">
        <w:t>4</w:t>
      </w:r>
      <w:r>
        <w:t>].</w:t>
      </w:r>
    </w:p>
    <w:p w14:paraId="4190BD75" w14:textId="6A92F604" w:rsidR="00B53162" w:rsidRDefault="00B53162" w:rsidP="00B53162">
      <w:pPr>
        <w:pStyle w:val="Heading1"/>
        <w:rPr>
          <w:color w:val="000000"/>
        </w:rPr>
      </w:pPr>
      <w:r>
        <w:rPr>
          <w:color w:val="000000"/>
        </w:rPr>
        <w:t>2</w:t>
      </w:r>
      <w:r w:rsidRPr="00B85522">
        <w:rPr>
          <w:color w:val="000000"/>
        </w:rPr>
        <w:tab/>
      </w:r>
      <w:r w:rsidR="002D76C6">
        <w:t>NR interlace structures</w:t>
      </w:r>
    </w:p>
    <w:p w14:paraId="0CFE4F2E" w14:textId="77777777" w:rsidR="00066565" w:rsidRDefault="002D76C6" w:rsidP="00380C79">
      <w:pPr>
        <w:jc w:val="both"/>
        <w:rPr>
          <w:lang w:val="en-US"/>
        </w:rPr>
      </w:pPr>
      <w:r w:rsidRPr="00036D13">
        <w:rPr>
          <w:lang w:val="en-US"/>
        </w:rPr>
        <w:t>It was agreed in RAN1#92bis that “</w:t>
      </w:r>
      <w:r w:rsidRPr="320AFB50">
        <w:rPr>
          <w:i/>
          <w:iCs/>
          <w:lang w:val="en-US"/>
        </w:rPr>
        <w:t>At least for band where absence of Wi-Fi cannot be guaranteed (e.g. by regulation), LBT can be performed in units of 20 MHz</w:t>
      </w:r>
      <w:r w:rsidRPr="00036D13">
        <w:rPr>
          <w:lang w:val="en-US"/>
        </w:rPr>
        <w:t xml:space="preserve">”. This indicates that in the case of wideband operation, frequency domain resources may be allocated with the granularity of 20 </w:t>
      </w:r>
      <w:proofErr w:type="spellStart"/>
      <w:r w:rsidRPr="00036D13">
        <w:rPr>
          <w:lang w:val="en-US"/>
        </w:rPr>
        <w:t>MHz.</w:t>
      </w:r>
      <w:proofErr w:type="spellEnd"/>
      <w:r w:rsidRPr="00036D13">
        <w:rPr>
          <w:lang w:val="en-US"/>
        </w:rPr>
        <w:t xml:space="preserve"> </w:t>
      </w:r>
    </w:p>
    <w:p w14:paraId="32A0DACF" w14:textId="33E679B4" w:rsidR="003F3129" w:rsidRPr="00BD41CE" w:rsidRDefault="003F3129" w:rsidP="003F3129">
      <w:pPr>
        <w:spacing w:after="0"/>
        <w:jc w:val="both"/>
        <w:rPr>
          <w:lang w:val="en-US"/>
        </w:rPr>
      </w:pPr>
      <w:r>
        <w:rPr>
          <w:lang w:val="en-US"/>
        </w:rPr>
        <w:t xml:space="preserve">For </w:t>
      </w:r>
      <w:r w:rsidRPr="00BD41CE">
        <w:rPr>
          <w:lang w:val="en-US"/>
        </w:rPr>
        <w:t xml:space="preserve">carriers with bandwidth larger than 20 MHz, two </w:t>
      </w:r>
      <w:proofErr w:type="gramStart"/>
      <w:r w:rsidRPr="00BD41CE">
        <w:rPr>
          <w:lang w:val="en-US"/>
        </w:rPr>
        <w:t>candidate</w:t>
      </w:r>
      <w:proofErr w:type="gramEnd"/>
      <w:r w:rsidRPr="00BD41CE">
        <w:rPr>
          <w:lang w:val="en-US"/>
        </w:rPr>
        <w:t xml:space="preserve"> interla</w:t>
      </w:r>
      <w:r>
        <w:rPr>
          <w:lang w:val="en-US"/>
        </w:rPr>
        <w:t>ce designs have been identified in RAN1#94bis [3]:</w:t>
      </w:r>
    </w:p>
    <w:p w14:paraId="5FF6F430" w14:textId="77777777" w:rsidR="003F3129" w:rsidRPr="00CE136E" w:rsidRDefault="003F3129" w:rsidP="003F3129">
      <w:pPr>
        <w:pStyle w:val="ListParagraph"/>
        <w:numPr>
          <w:ilvl w:val="0"/>
          <w:numId w:val="19"/>
        </w:numPr>
        <w:jc w:val="both"/>
        <w:rPr>
          <w:lang w:val="en-US"/>
        </w:rPr>
      </w:pPr>
      <w:r w:rsidRPr="00CE136E">
        <w:rPr>
          <w:sz w:val="20"/>
          <w:lang w:val="en-US"/>
        </w:rPr>
        <w:t>Alt-1: Same interlace spacing for all interlaces regardless of carrier BW. This alternative uses Point A as a reference for the interlace definition</w:t>
      </w:r>
    </w:p>
    <w:p w14:paraId="2002D019" w14:textId="77777777" w:rsidR="003F3129" w:rsidRDefault="003F3129" w:rsidP="003F3129">
      <w:pPr>
        <w:pStyle w:val="ListParagraph"/>
        <w:numPr>
          <w:ilvl w:val="0"/>
          <w:numId w:val="19"/>
        </w:numPr>
        <w:jc w:val="both"/>
        <w:rPr>
          <w:lang w:val="en-US"/>
        </w:rPr>
      </w:pPr>
      <w:r w:rsidRPr="00CE136E">
        <w:rPr>
          <w:sz w:val="20"/>
          <w:lang w:val="en-US"/>
        </w:rPr>
        <w:t>Alt-2: Interlacing defined on a sub-band (20 MHz) basis. (Note: Possible interlace spacing discontinuity at edges of sub-band).</w:t>
      </w:r>
    </w:p>
    <w:p w14:paraId="26F60FD2" w14:textId="77777777" w:rsidR="003F3129" w:rsidRDefault="003F3129" w:rsidP="003F3129">
      <w:pPr>
        <w:spacing w:after="0"/>
        <w:jc w:val="both"/>
        <w:rPr>
          <w:lang w:val="en-US"/>
        </w:rPr>
      </w:pPr>
    </w:p>
    <w:p w14:paraId="48C9C2BB" w14:textId="65A94E71" w:rsidR="003F3129" w:rsidRDefault="003F3129" w:rsidP="003F3129">
      <w:pPr>
        <w:spacing w:after="0"/>
        <w:jc w:val="both"/>
        <w:rPr>
          <w:lang w:val="en-US"/>
        </w:rPr>
      </w:pPr>
      <w:r>
        <w:rPr>
          <w:lang w:val="en-US"/>
        </w:rPr>
        <w:t xml:space="preserve">For different PUCCH scenarios, interlace structure designed for 20 MHz sub-band is a natural choice. In the case of PUCCH, there is no justification to increase the PUCCH bandwidth beyond sub-band size (20 MHz). For example, from UCI payload point of view one sub-band is already more than enough. </w:t>
      </w:r>
      <w:r w:rsidRPr="00036D13">
        <w:rPr>
          <w:lang w:val="en-US"/>
        </w:rPr>
        <w:t xml:space="preserve">On the other hand, interlace structure </w:t>
      </w:r>
      <w:r w:rsidRPr="00BD3FD0">
        <w:rPr>
          <w:lang w:val="en-US"/>
        </w:rPr>
        <w:t xml:space="preserve">with 20 MHz bandwidth can already fulfill the regulatory rules related </w:t>
      </w:r>
      <w:r>
        <w:rPr>
          <w:lang w:val="en-US"/>
        </w:rPr>
        <w:t xml:space="preserve">to </w:t>
      </w:r>
      <w:r w:rsidRPr="00BD3FD0">
        <w:rPr>
          <w:lang w:val="en-US"/>
        </w:rPr>
        <w:t>OCB</w:t>
      </w:r>
      <w:r>
        <w:rPr>
          <w:lang w:val="en-US"/>
        </w:rPr>
        <w:t>, and provide sufficient transmission power under constrained PSD</w:t>
      </w:r>
      <w:r w:rsidRPr="00BD3FD0">
        <w:rPr>
          <w:lang w:val="en-US"/>
        </w:rPr>
        <w:t>.</w:t>
      </w:r>
      <w:r>
        <w:rPr>
          <w:lang w:val="en-US"/>
        </w:rPr>
        <w:t xml:space="preserve"> Furthermore, LBT performed in units of 20 MHz might complicate the PUCCH operation</w:t>
      </w:r>
      <w:r w:rsidR="00F83CD4">
        <w:rPr>
          <w:lang w:val="en-US"/>
        </w:rPr>
        <w:t xml:space="preserve"> with Alt-1</w:t>
      </w:r>
      <w:r>
        <w:rPr>
          <w:lang w:val="en-US"/>
        </w:rPr>
        <w:t>.</w:t>
      </w:r>
    </w:p>
    <w:p w14:paraId="7F4058CC" w14:textId="77777777" w:rsidR="003F3129" w:rsidRDefault="003F3129" w:rsidP="003F3129">
      <w:pPr>
        <w:spacing w:after="0"/>
        <w:jc w:val="both"/>
        <w:rPr>
          <w:lang w:val="en-US"/>
        </w:rPr>
      </w:pPr>
    </w:p>
    <w:p w14:paraId="629B7448" w14:textId="00087AA8" w:rsidR="003F3129" w:rsidRDefault="003F3129" w:rsidP="003F3129">
      <w:pPr>
        <w:spacing w:after="0"/>
        <w:jc w:val="both"/>
        <w:rPr>
          <w:lang w:val="en-US"/>
        </w:rPr>
      </w:pPr>
      <w:r>
        <w:rPr>
          <w:lang w:val="en-US"/>
        </w:rPr>
        <w:t>It was agreed in RAN1#94 that “</w:t>
      </w:r>
      <w:r w:rsidRPr="00066565">
        <w:rPr>
          <w:i/>
          <w:lang w:val="en-US"/>
        </w:rPr>
        <w:t>it can be beneficial to have UL channels on a common interlace structure, at least for PUSCH, PUCCH, associated DMRS</w:t>
      </w:r>
      <w:r>
        <w:rPr>
          <w:lang w:val="en-US"/>
        </w:rPr>
        <w:t xml:space="preserve">”. When considering PUSCH with relatively small payload, the requirements behind interlace -based transmission are the same as with PUCCH: 1) to meet OCB requirement and 2) to increase allowed UE Tx </w:t>
      </w:r>
      <w:r>
        <w:rPr>
          <w:lang w:val="en-US"/>
        </w:rPr>
        <w:lastRenderedPageBreak/>
        <w:t>power under regulatory PSD limit with reasonable resource usage. Interlace structure defined on a sub-band (</w:t>
      </w:r>
      <w:r w:rsidR="00F83CD4">
        <w:rPr>
          <w:lang w:val="en-US"/>
        </w:rPr>
        <w:t>Alt-2</w:t>
      </w:r>
      <w:r>
        <w:rPr>
          <w:lang w:val="en-US"/>
        </w:rPr>
        <w:t xml:space="preserve">) can perfectly meet these requirements. </w:t>
      </w:r>
    </w:p>
    <w:p w14:paraId="2AF55B9D" w14:textId="75030C3C" w:rsidR="002D76C6" w:rsidRDefault="002D76C6" w:rsidP="003C5264">
      <w:pPr>
        <w:spacing w:after="0"/>
        <w:jc w:val="both"/>
        <w:rPr>
          <w:lang w:val="en-US"/>
        </w:rPr>
      </w:pPr>
      <w:r w:rsidRPr="00BD3FD0">
        <w:rPr>
          <w:lang w:val="en-US"/>
        </w:rPr>
        <w:t xml:space="preserve"> </w:t>
      </w:r>
    </w:p>
    <w:p w14:paraId="2DCF613E" w14:textId="491FA7C1" w:rsidR="002D76C6" w:rsidRPr="00FD57D9" w:rsidRDefault="002D76C6" w:rsidP="002D76C6">
      <w:pPr>
        <w:spacing w:after="0"/>
        <w:jc w:val="both"/>
        <w:rPr>
          <w:i/>
          <w:iCs/>
          <w:lang w:val="en-US"/>
        </w:rPr>
      </w:pPr>
      <w:r w:rsidRPr="57A2373E">
        <w:rPr>
          <w:b/>
          <w:bCs/>
          <w:i/>
          <w:iCs/>
          <w:lang w:val="en-US"/>
        </w:rPr>
        <w:t xml:space="preserve">Proposal </w:t>
      </w:r>
      <w:r w:rsidR="00380C79">
        <w:rPr>
          <w:b/>
          <w:bCs/>
          <w:i/>
          <w:iCs/>
          <w:lang w:val="en-US"/>
        </w:rPr>
        <w:t>1</w:t>
      </w:r>
      <w:r w:rsidRPr="57A2373E">
        <w:rPr>
          <w:b/>
          <w:bCs/>
          <w:i/>
          <w:iCs/>
          <w:lang w:val="en-US"/>
        </w:rPr>
        <w:t xml:space="preserve">: </w:t>
      </w:r>
      <w:r w:rsidRPr="57A2373E">
        <w:rPr>
          <w:i/>
          <w:iCs/>
          <w:lang w:val="en-US"/>
        </w:rPr>
        <w:t>NR interlace structure is designed for 20 MHz sub-band</w:t>
      </w:r>
      <w:r w:rsidR="00F83CD4">
        <w:rPr>
          <w:i/>
          <w:iCs/>
          <w:lang w:val="en-US"/>
        </w:rPr>
        <w:t xml:space="preserve"> (</w:t>
      </w:r>
      <w:r w:rsidR="00F83CD4" w:rsidRPr="003C5264">
        <w:rPr>
          <w:b/>
          <w:i/>
          <w:iCs/>
          <w:lang w:val="en-US"/>
        </w:rPr>
        <w:t>Alt-2</w:t>
      </w:r>
      <w:r w:rsidR="00F83CD4">
        <w:rPr>
          <w:i/>
          <w:iCs/>
          <w:lang w:val="en-US"/>
        </w:rPr>
        <w:t>)</w:t>
      </w:r>
      <w:r w:rsidRPr="57A2373E">
        <w:rPr>
          <w:i/>
          <w:iCs/>
          <w:lang w:val="en-US"/>
        </w:rPr>
        <w:t>.</w:t>
      </w:r>
    </w:p>
    <w:p w14:paraId="07D262DE" w14:textId="348F975D" w:rsidR="002D76C6" w:rsidRDefault="002D76C6" w:rsidP="002D76C6">
      <w:pPr>
        <w:spacing w:after="0"/>
        <w:jc w:val="both"/>
        <w:rPr>
          <w:rFonts w:eastAsia="Batang"/>
          <w:iCs/>
          <w:kern w:val="2"/>
          <w:sz w:val="22"/>
          <w:szCs w:val="24"/>
          <w:lang w:val="en-US" w:eastAsia="ko-KR"/>
        </w:rPr>
      </w:pPr>
    </w:p>
    <w:p w14:paraId="5F1C3237" w14:textId="77777777" w:rsidR="003F3129" w:rsidRPr="00BD41CE" w:rsidRDefault="003F3129" w:rsidP="003F3129">
      <w:pPr>
        <w:spacing w:after="0"/>
        <w:jc w:val="both"/>
        <w:rPr>
          <w:lang w:val="en-US"/>
        </w:rPr>
      </w:pPr>
      <w:proofErr w:type="gramStart"/>
      <w:r>
        <w:rPr>
          <w:lang w:val="en-US"/>
        </w:rPr>
        <w:t xml:space="preserve">In </w:t>
      </w:r>
      <w:r w:rsidRPr="00036D13">
        <w:rPr>
          <w:lang w:val="en-US"/>
        </w:rPr>
        <w:t>order to</w:t>
      </w:r>
      <w:proofErr w:type="gramEnd"/>
      <w:r w:rsidRPr="00036D13">
        <w:rPr>
          <w:lang w:val="en-US"/>
        </w:rPr>
        <w:t xml:space="preserve"> minimize the spectrum fragmentation</w:t>
      </w:r>
      <w:r>
        <w:rPr>
          <w:lang w:val="en-US"/>
        </w:rPr>
        <w:t xml:space="preserve"> for PUSCH</w:t>
      </w:r>
      <w:r w:rsidRPr="00036D13">
        <w:rPr>
          <w:lang w:val="en-US"/>
        </w:rPr>
        <w:t xml:space="preserve">, it may be preferable to concentrate all interlace -based transmissions (such as PUSCH with small data </w:t>
      </w:r>
      <w:r>
        <w:rPr>
          <w:lang w:val="en-US"/>
        </w:rPr>
        <w:t>payload</w:t>
      </w:r>
      <w:r w:rsidRPr="00036D13">
        <w:rPr>
          <w:lang w:val="en-US"/>
        </w:rPr>
        <w:t xml:space="preserve"> and long PUCCH) within one 20 MHz sub-band. This maximizes the opportunities for </w:t>
      </w:r>
      <w:r>
        <w:rPr>
          <w:lang w:val="en-US"/>
        </w:rPr>
        <w:t xml:space="preserve">more efficient </w:t>
      </w:r>
      <w:r w:rsidRPr="00036D13">
        <w:rPr>
          <w:lang w:val="en-US"/>
        </w:rPr>
        <w:t>localized transmission for other portions of the wideband carrier (including guard band between different 20 MHz sub-bands).</w:t>
      </w:r>
      <w:r>
        <w:rPr>
          <w:lang w:val="en-US"/>
        </w:rPr>
        <w:t xml:space="preserve"> Figure 1a shows an example where almost contiguous PUSCH allocation is used to multiplex interlace -based PUSCH with localized PUSCH.</w:t>
      </w:r>
      <w:r w:rsidRPr="00B07506">
        <w:rPr>
          <w:lang w:val="en-US"/>
        </w:rPr>
        <w:t xml:space="preserve"> </w:t>
      </w:r>
    </w:p>
    <w:p w14:paraId="57BF5D04" w14:textId="65209CD1" w:rsidR="003F3129" w:rsidRPr="00CE136E" w:rsidRDefault="003F3129" w:rsidP="003F3129">
      <w:pPr>
        <w:pStyle w:val="ListParagraph"/>
        <w:numPr>
          <w:ilvl w:val="0"/>
          <w:numId w:val="20"/>
        </w:numPr>
        <w:jc w:val="both"/>
        <w:rPr>
          <w:lang w:val="en-US"/>
        </w:rPr>
      </w:pPr>
      <w:r w:rsidRPr="00CE136E">
        <w:rPr>
          <w:sz w:val="20"/>
          <w:lang w:val="en-US"/>
        </w:rPr>
        <w:t>Interlacing defined on</w:t>
      </w:r>
      <w:r w:rsidRPr="00E374BC">
        <w:rPr>
          <w:sz w:val="20"/>
          <w:lang w:val="en-US"/>
        </w:rPr>
        <w:t xml:space="preserve"> a sub-band (20 MHz) basis </w:t>
      </w:r>
      <w:r>
        <w:rPr>
          <w:sz w:val="20"/>
          <w:lang w:val="en-US"/>
        </w:rPr>
        <w:t>(</w:t>
      </w:r>
      <w:r w:rsidRPr="003C5264">
        <w:rPr>
          <w:i/>
          <w:sz w:val="20"/>
          <w:lang w:val="en-US"/>
        </w:rPr>
        <w:t>Alt</w:t>
      </w:r>
      <w:r w:rsidR="00F83CD4" w:rsidRPr="003C5264">
        <w:rPr>
          <w:i/>
          <w:sz w:val="20"/>
          <w:lang w:val="en-US"/>
        </w:rPr>
        <w:t>-</w:t>
      </w:r>
      <w:r w:rsidRPr="003C5264">
        <w:rPr>
          <w:i/>
          <w:sz w:val="20"/>
          <w:lang w:val="en-US"/>
        </w:rPr>
        <w:t>2</w:t>
      </w:r>
      <w:r w:rsidRPr="00CE136E">
        <w:rPr>
          <w:sz w:val="20"/>
          <w:lang w:val="en-US"/>
        </w:rPr>
        <w:t xml:space="preserve">) – and limited to 20 MHz </w:t>
      </w:r>
      <w:r w:rsidR="00F83CD4">
        <w:rPr>
          <w:sz w:val="20"/>
          <w:lang w:val="en-US"/>
        </w:rPr>
        <w:t>bandwidth</w:t>
      </w:r>
    </w:p>
    <w:p w14:paraId="63605804" w14:textId="77777777" w:rsidR="003F3129" w:rsidRDefault="003F3129" w:rsidP="003F3129">
      <w:pPr>
        <w:pStyle w:val="ListParagraph"/>
        <w:numPr>
          <w:ilvl w:val="0"/>
          <w:numId w:val="20"/>
        </w:numPr>
        <w:jc w:val="both"/>
        <w:rPr>
          <w:lang w:val="en-US"/>
        </w:rPr>
      </w:pPr>
      <w:r w:rsidRPr="00CE136E">
        <w:rPr>
          <w:sz w:val="20"/>
          <w:lang w:val="en-US"/>
        </w:rPr>
        <w:t>Contiguous allocation given for wideband PUSCH, with exclusion of indicated 20 MHz interlaces</w:t>
      </w:r>
      <w:r>
        <w:rPr>
          <w:sz w:val="20"/>
          <w:lang w:val="en-US"/>
        </w:rPr>
        <w:t>.</w:t>
      </w:r>
    </w:p>
    <w:p w14:paraId="021D6B12" w14:textId="77777777" w:rsidR="003F3129" w:rsidRDefault="003F3129" w:rsidP="003F3129">
      <w:pPr>
        <w:jc w:val="both"/>
        <w:rPr>
          <w:lang w:val="en-US"/>
        </w:rPr>
      </w:pPr>
      <w:r>
        <w:rPr>
          <w:lang w:val="en-US"/>
        </w:rPr>
        <w:t>Almost contiguous PUSCH allocation supports smooth usage of guard bands between adjacent sub-bands as shown in Figure 1b. It supports also easy frequency domain multiplexing between frequency localized and interlaced transmission with MPR/A-MPR comparable to interlaced transmission.</w:t>
      </w:r>
    </w:p>
    <w:p w14:paraId="3DA14E4E" w14:textId="27E83D71" w:rsidR="003F3129" w:rsidRDefault="003F3129" w:rsidP="003F3129">
      <w:pPr>
        <w:spacing w:after="0"/>
        <w:jc w:val="both"/>
        <w:rPr>
          <w:i/>
          <w:iCs/>
          <w:lang w:val="en-US"/>
        </w:rPr>
      </w:pPr>
      <w:r w:rsidRPr="57A2373E">
        <w:rPr>
          <w:b/>
          <w:bCs/>
          <w:i/>
          <w:iCs/>
          <w:lang w:val="en-US"/>
        </w:rPr>
        <w:t xml:space="preserve">Proposal </w:t>
      </w:r>
      <w:r>
        <w:rPr>
          <w:b/>
          <w:bCs/>
          <w:i/>
          <w:iCs/>
          <w:lang w:val="en-US"/>
        </w:rPr>
        <w:t>2</w:t>
      </w:r>
      <w:r w:rsidRPr="57A2373E">
        <w:rPr>
          <w:b/>
          <w:bCs/>
          <w:i/>
          <w:iCs/>
          <w:lang w:val="en-US"/>
        </w:rPr>
        <w:t xml:space="preserve">: </w:t>
      </w:r>
      <w:r w:rsidRPr="00A77B83">
        <w:rPr>
          <w:i/>
          <w:iCs/>
          <w:lang w:val="en-US"/>
        </w:rPr>
        <w:t>NR interlace structure is limited to 20 MHz maximum bandwidth. Almost-contiguous allocation is used to multiplex wider BW allocation with interlaced allocation.</w:t>
      </w:r>
    </w:p>
    <w:p w14:paraId="7045EC17" w14:textId="77777777" w:rsidR="003F3129" w:rsidRPr="00CE136E" w:rsidRDefault="003F3129" w:rsidP="003F3129">
      <w:pPr>
        <w:jc w:val="both"/>
        <w:rPr>
          <w:lang w:val="en-US"/>
        </w:rPr>
      </w:pPr>
    </w:p>
    <w:p w14:paraId="457F1276" w14:textId="77777777" w:rsidR="003F3129" w:rsidRDefault="003F3129" w:rsidP="003F3129">
      <w:pPr>
        <w:spacing w:after="0"/>
        <w:jc w:val="both"/>
        <w:rPr>
          <w:lang w:val="en-US"/>
        </w:rPr>
      </w:pPr>
      <w:r>
        <w:rPr>
          <w:noProof/>
        </w:rPr>
        <w:drawing>
          <wp:inline distT="0" distB="0" distL="0" distR="0" wp14:anchorId="00B1117B" wp14:editId="23F84A4B">
            <wp:extent cx="6210935" cy="110109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210935" cy="1101090"/>
                    </a:xfrm>
                    <a:prstGeom prst="rect">
                      <a:avLst/>
                    </a:prstGeom>
                  </pic:spPr>
                </pic:pic>
              </a:graphicData>
            </a:graphic>
          </wp:inline>
        </w:drawing>
      </w:r>
    </w:p>
    <w:p w14:paraId="36F4061E" w14:textId="77777777" w:rsidR="003F3129" w:rsidRPr="00F964B8" w:rsidRDefault="003F3129" w:rsidP="003F3129">
      <w:pPr>
        <w:pStyle w:val="ListParagraph"/>
        <w:numPr>
          <w:ilvl w:val="0"/>
          <w:numId w:val="21"/>
        </w:numPr>
        <w:spacing w:after="120"/>
        <w:ind w:left="714" w:hanging="357"/>
        <w:jc w:val="center"/>
        <w:rPr>
          <w:lang w:val="en-US"/>
        </w:rPr>
      </w:pPr>
      <w:r w:rsidRPr="00CE136E">
        <w:rPr>
          <w:sz w:val="20"/>
          <w:lang w:val="en-US"/>
        </w:rPr>
        <w:t>multiplexing with interlace-based PUSCH</w:t>
      </w:r>
    </w:p>
    <w:p w14:paraId="4A9B9127" w14:textId="77777777" w:rsidR="003F3129" w:rsidRDefault="003F3129" w:rsidP="003F3129">
      <w:pPr>
        <w:spacing w:after="0"/>
        <w:jc w:val="both"/>
        <w:rPr>
          <w:lang w:val="en-US"/>
        </w:rPr>
      </w:pPr>
      <w:r w:rsidRPr="006115DE">
        <w:rPr>
          <w:noProof/>
        </w:rPr>
        <w:drawing>
          <wp:inline distT="0" distB="0" distL="0" distR="0" wp14:anchorId="0746D1FA" wp14:editId="42F221AC">
            <wp:extent cx="6210935" cy="1158238"/>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10935" cy="1158238"/>
                    </a:xfrm>
                    <a:prstGeom prst="rect">
                      <a:avLst/>
                    </a:prstGeom>
                    <a:noFill/>
                    <a:ln>
                      <a:noFill/>
                    </a:ln>
                  </pic:spPr>
                </pic:pic>
              </a:graphicData>
            </a:graphic>
          </wp:inline>
        </w:drawing>
      </w:r>
    </w:p>
    <w:p w14:paraId="4D1C605B" w14:textId="77777777" w:rsidR="003F3129" w:rsidRPr="00CE136E" w:rsidRDefault="003F3129" w:rsidP="003F3129">
      <w:pPr>
        <w:pStyle w:val="ListParagraph"/>
        <w:numPr>
          <w:ilvl w:val="0"/>
          <w:numId w:val="21"/>
        </w:numPr>
        <w:spacing w:after="120"/>
        <w:ind w:left="714" w:hanging="357"/>
        <w:jc w:val="center"/>
        <w:rPr>
          <w:sz w:val="20"/>
          <w:lang w:val="en-US"/>
        </w:rPr>
      </w:pPr>
      <w:r>
        <w:rPr>
          <w:sz w:val="20"/>
          <w:lang w:val="en-US"/>
        </w:rPr>
        <w:t>use of guard-bands between sub-bands</w:t>
      </w:r>
    </w:p>
    <w:p w14:paraId="54A95F12" w14:textId="77777777" w:rsidR="003F3129" w:rsidRDefault="003F3129" w:rsidP="003F3129">
      <w:pPr>
        <w:pStyle w:val="Caption"/>
        <w:jc w:val="center"/>
      </w:pPr>
      <w:r>
        <w:t>Figure 1. Almost contiguous allocation for PUSCH.</w:t>
      </w:r>
    </w:p>
    <w:p w14:paraId="03AEAC7F" w14:textId="1389E41B" w:rsidR="003F3129" w:rsidRDefault="003F3129" w:rsidP="002D76C6">
      <w:pPr>
        <w:spacing w:after="0"/>
        <w:jc w:val="both"/>
        <w:rPr>
          <w:rFonts w:eastAsia="Batang"/>
          <w:iCs/>
          <w:kern w:val="2"/>
          <w:sz w:val="22"/>
          <w:szCs w:val="24"/>
          <w:lang w:eastAsia="ko-KR"/>
        </w:rPr>
      </w:pPr>
    </w:p>
    <w:p w14:paraId="31917704" w14:textId="77777777" w:rsidR="003F3129" w:rsidRDefault="003F3129" w:rsidP="002D76C6">
      <w:pPr>
        <w:spacing w:after="0"/>
        <w:jc w:val="both"/>
        <w:rPr>
          <w:rFonts w:eastAsia="Batang"/>
          <w:iCs/>
          <w:kern w:val="2"/>
          <w:sz w:val="22"/>
          <w:szCs w:val="24"/>
          <w:lang w:val="en-US" w:eastAsia="ko-KR"/>
        </w:rPr>
      </w:pPr>
    </w:p>
    <w:p w14:paraId="2D2792E0" w14:textId="77777777" w:rsidR="002D76C6" w:rsidRPr="00FD57D9" w:rsidRDefault="002D76C6" w:rsidP="002D76C6">
      <w:pPr>
        <w:spacing w:after="0"/>
        <w:jc w:val="both"/>
        <w:rPr>
          <w:b/>
          <w:bCs/>
          <w:lang w:val="en-US"/>
        </w:rPr>
      </w:pPr>
      <w:r w:rsidRPr="00FD57D9">
        <w:rPr>
          <w:rFonts w:eastAsia="Batang"/>
          <w:b/>
          <w:bCs/>
          <w:kern w:val="2"/>
          <w:sz w:val="22"/>
          <w:szCs w:val="22"/>
          <w:lang w:val="en-US" w:eastAsia="ko-KR"/>
        </w:rPr>
        <w:t xml:space="preserve">Interlace design for 20 MHz sub-band: </w:t>
      </w:r>
    </w:p>
    <w:p w14:paraId="623A6600" w14:textId="77777777" w:rsidR="002D76C6" w:rsidRPr="00D7439B" w:rsidRDefault="002D76C6" w:rsidP="002D76C6">
      <w:pPr>
        <w:pStyle w:val="LGTdoc"/>
        <w:spacing w:afterLines="0" w:after="0" w:line="240" w:lineRule="auto"/>
        <w:rPr>
          <w:rFonts w:eastAsia="SimSun"/>
          <w:sz w:val="20"/>
          <w:szCs w:val="20"/>
          <w:lang w:val="en-US" w:eastAsia="zh-CN"/>
        </w:rPr>
      </w:pPr>
    </w:p>
    <w:p w14:paraId="75680AE7" w14:textId="1F044182" w:rsidR="002D76C6" w:rsidRDefault="002D76C6" w:rsidP="002D76C6">
      <w:pPr>
        <w:pStyle w:val="LGTdoc"/>
        <w:spacing w:afterLines="0" w:after="0" w:line="240" w:lineRule="auto"/>
        <w:rPr>
          <w:rFonts w:eastAsia="SimSun"/>
          <w:sz w:val="20"/>
          <w:szCs w:val="20"/>
          <w:lang w:eastAsia="zh-CN"/>
        </w:rPr>
      </w:pPr>
      <w:r>
        <w:rPr>
          <w:rFonts w:eastAsia="SimSun"/>
          <w:sz w:val="20"/>
          <w:szCs w:val="20"/>
          <w:lang w:eastAsia="zh-CN"/>
        </w:rPr>
        <w:t xml:space="preserve">When the subcarrier spacing increases, the number of PRBs per given frequency band decreases. For example, with 60 kHz SCS, the number of PRBs available per 20 MHz sub-band is around 24. In this scenario, it is not possible to have interlace design fulfilling the OCB rule, and providing at the same time sufficient multiplexing capacity with a design based on cluster size of 1 PRB. Hence, in these cases, interlace design must be based on usage of partial PRBs. Otherwise, either Tx power and/or multiplexing capacity is </w:t>
      </w:r>
      <w:r w:rsidR="00185DD9">
        <w:rPr>
          <w:rFonts w:eastAsia="SimSun"/>
          <w:sz w:val="20"/>
          <w:szCs w:val="20"/>
          <w:lang w:eastAsia="zh-CN"/>
        </w:rPr>
        <w:t>in</w:t>
      </w:r>
      <w:r>
        <w:rPr>
          <w:rFonts w:eastAsia="SimSun"/>
          <w:sz w:val="20"/>
          <w:szCs w:val="20"/>
          <w:lang w:eastAsia="zh-CN"/>
        </w:rPr>
        <w:t xml:space="preserve">sufficient. </w:t>
      </w:r>
    </w:p>
    <w:p w14:paraId="33773841" w14:textId="77777777" w:rsidR="002D76C6" w:rsidRDefault="002D76C6" w:rsidP="002D76C6">
      <w:pPr>
        <w:spacing w:after="0"/>
        <w:jc w:val="both"/>
        <w:rPr>
          <w:b/>
          <w:i/>
          <w:lang w:val="en-US" w:eastAsia="x-none"/>
        </w:rPr>
      </w:pPr>
    </w:p>
    <w:p w14:paraId="7FB5E4A9" w14:textId="27BB76C4" w:rsidR="002D76C6" w:rsidRPr="00FD57D9" w:rsidRDefault="002D76C6" w:rsidP="002D76C6">
      <w:pPr>
        <w:spacing w:after="0"/>
        <w:jc w:val="both"/>
        <w:rPr>
          <w:i/>
          <w:iCs/>
          <w:lang w:val="en-US"/>
        </w:rPr>
      </w:pPr>
      <w:r w:rsidRPr="00FD57D9">
        <w:rPr>
          <w:b/>
          <w:bCs/>
          <w:i/>
          <w:iCs/>
          <w:lang w:val="en-US"/>
        </w:rPr>
        <w:t xml:space="preserve">Proposal </w:t>
      </w:r>
      <w:r w:rsidR="003F3129">
        <w:rPr>
          <w:b/>
          <w:bCs/>
          <w:i/>
          <w:iCs/>
          <w:lang w:val="en-US"/>
        </w:rPr>
        <w:t>3</w:t>
      </w:r>
      <w:r w:rsidRPr="00FD57D9">
        <w:rPr>
          <w:b/>
          <w:bCs/>
          <w:i/>
          <w:iCs/>
          <w:lang w:val="en-US"/>
        </w:rPr>
        <w:t xml:space="preserve">: </w:t>
      </w:r>
      <w:r w:rsidR="008A2F08">
        <w:rPr>
          <w:i/>
          <w:iCs/>
          <w:lang w:val="en-US"/>
        </w:rPr>
        <w:t>For 60 kHz subcarrier spacing, s</w:t>
      </w:r>
      <w:r w:rsidRPr="00FD57D9">
        <w:rPr>
          <w:i/>
          <w:iCs/>
          <w:lang w:val="en-US"/>
        </w:rPr>
        <w:t>upport interlace structure where cluster size is a fraction of PRB.</w:t>
      </w:r>
    </w:p>
    <w:p w14:paraId="00121971" w14:textId="77777777" w:rsidR="002D76C6" w:rsidRDefault="002D76C6" w:rsidP="002D76C6">
      <w:pPr>
        <w:spacing w:after="0"/>
        <w:jc w:val="both"/>
        <w:rPr>
          <w:i/>
          <w:lang w:val="en-US" w:eastAsia="x-none"/>
        </w:rPr>
      </w:pPr>
    </w:p>
    <w:p w14:paraId="0BA31036" w14:textId="77777777" w:rsidR="003F3129" w:rsidRPr="00066565" w:rsidRDefault="003F3129" w:rsidP="003F3129">
      <w:pPr>
        <w:spacing w:after="0"/>
        <w:jc w:val="both"/>
        <w:rPr>
          <w:rFonts w:cs="Arial"/>
          <w:lang w:val="en-US"/>
        </w:rPr>
      </w:pPr>
      <w:r>
        <w:rPr>
          <w:rFonts w:cs="Arial"/>
          <w:lang w:val="en-US"/>
        </w:rPr>
        <w:t>It was agreed in RAN1#94 that “</w:t>
      </w:r>
      <w:r w:rsidRPr="00066565">
        <w:rPr>
          <w:rFonts w:cs="Arial"/>
          <w:i/>
          <w:lang w:val="en-US"/>
        </w:rPr>
        <w:t>For scenarios in which a block-interlaced waveform is used for UL transmission, a PRB-based block-interlace design has been identified as beneficial at least for 15 and 30 kHz SCS, and potentially for 60 kHz SCS”.</w:t>
      </w:r>
      <w:r>
        <w:rPr>
          <w:rFonts w:cs="Arial"/>
          <w:lang w:val="en-US"/>
        </w:rPr>
        <w:t xml:space="preserve"> </w:t>
      </w:r>
      <w:r>
        <w:rPr>
          <w:rFonts w:cs="Arial"/>
        </w:rPr>
        <w:t xml:space="preserve">In the following, we consider interlace design applicable to 20 MHz sub-band(s). </w:t>
      </w:r>
      <w:r>
        <w:rPr>
          <w:lang w:eastAsia="zh-CN"/>
        </w:rPr>
        <w:t xml:space="preserve">The considered interlace structures are shown in Figure 2 and parameters in Table 1, respectively. </w:t>
      </w:r>
    </w:p>
    <w:p w14:paraId="09B1AB6E" w14:textId="77777777" w:rsidR="003F3129" w:rsidRDefault="003F3129" w:rsidP="003F3129">
      <w:pPr>
        <w:pStyle w:val="LGTdoc"/>
        <w:numPr>
          <w:ilvl w:val="0"/>
          <w:numId w:val="3"/>
        </w:numPr>
        <w:spacing w:afterLines="0" w:after="0" w:line="240" w:lineRule="auto"/>
        <w:rPr>
          <w:rFonts w:eastAsia="SimSun"/>
          <w:sz w:val="20"/>
          <w:szCs w:val="20"/>
          <w:lang w:eastAsia="zh-CN"/>
        </w:rPr>
      </w:pPr>
      <w:r>
        <w:rPr>
          <w:rFonts w:eastAsia="SimSun"/>
          <w:sz w:val="20"/>
          <w:szCs w:val="20"/>
          <w:lang w:eastAsia="zh-CN"/>
        </w:rPr>
        <w:t>15 kHz sub-carrier spacing follows a PRB-based design defined for LTE LAA (Figure 2a)</w:t>
      </w:r>
    </w:p>
    <w:p w14:paraId="000A5D34" w14:textId="77777777" w:rsidR="003F3129" w:rsidRDefault="003F3129" w:rsidP="003F3129">
      <w:pPr>
        <w:pStyle w:val="LGTdoc"/>
        <w:numPr>
          <w:ilvl w:val="1"/>
          <w:numId w:val="3"/>
        </w:numPr>
        <w:spacing w:afterLines="0" w:after="0" w:line="240" w:lineRule="auto"/>
        <w:rPr>
          <w:rFonts w:eastAsia="SimSun"/>
          <w:sz w:val="20"/>
          <w:szCs w:val="20"/>
          <w:lang w:eastAsia="zh-CN"/>
        </w:rPr>
      </w:pPr>
      <w:r>
        <w:rPr>
          <w:rFonts w:eastAsia="SimSun"/>
          <w:sz w:val="20"/>
          <w:szCs w:val="20"/>
          <w:lang w:eastAsia="zh-CN"/>
        </w:rPr>
        <w:t>M=10 (number of interlaces)</w:t>
      </w:r>
    </w:p>
    <w:p w14:paraId="28A636E2" w14:textId="77777777" w:rsidR="003F3129" w:rsidRDefault="003F3129" w:rsidP="003F3129">
      <w:pPr>
        <w:pStyle w:val="LGTdoc"/>
        <w:numPr>
          <w:ilvl w:val="1"/>
          <w:numId w:val="3"/>
        </w:numPr>
        <w:spacing w:afterLines="0" w:after="0" w:line="240" w:lineRule="auto"/>
        <w:rPr>
          <w:rFonts w:eastAsia="SimSun"/>
          <w:sz w:val="20"/>
          <w:szCs w:val="20"/>
          <w:lang w:eastAsia="zh-CN"/>
        </w:rPr>
      </w:pPr>
      <w:r>
        <w:rPr>
          <w:rFonts w:eastAsia="SimSun"/>
          <w:sz w:val="20"/>
          <w:szCs w:val="20"/>
          <w:lang w:eastAsia="zh-CN"/>
        </w:rPr>
        <w:t>N=10 (nominal number of PRBs per interlace)</w:t>
      </w:r>
    </w:p>
    <w:p w14:paraId="0B944F47" w14:textId="77777777" w:rsidR="003F3129" w:rsidRDefault="003F3129" w:rsidP="003F3129">
      <w:pPr>
        <w:pStyle w:val="LGTdoc"/>
        <w:numPr>
          <w:ilvl w:val="0"/>
          <w:numId w:val="3"/>
        </w:numPr>
        <w:spacing w:afterLines="0" w:after="0" w:line="240" w:lineRule="auto"/>
        <w:rPr>
          <w:rFonts w:eastAsia="SimSun"/>
          <w:sz w:val="20"/>
          <w:szCs w:val="20"/>
          <w:lang w:eastAsia="zh-CN"/>
        </w:rPr>
      </w:pPr>
      <w:r>
        <w:rPr>
          <w:rFonts w:eastAsia="SimSun"/>
          <w:sz w:val="20"/>
          <w:szCs w:val="20"/>
          <w:lang w:eastAsia="zh-CN"/>
        </w:rPr>
        <w:t>Figure 2b illustrates the structure proposed for 30 kHz and 60 kHz cases.</w:t>
      </w:r>
    </w:p>
    <w:p w14:paraId="53B2095E" w14:textId="77777777" w:rsidR="003F3129" w:rsidRDefault="003F3129" w:rsidP="003F3129">
      <w:pPr>
        <w:pStyle w:val="LGTdoc"/>
        <w:numPr>
          <w:ilvl w:val="1"/>
          <w:numId w:val="3"/>
        </w:numPr>
        <w:spacing w:afterLines="0" w:after="0" w:line="240" w:lineRule="auto"/>
        <w:rPr>
          <w:rFonts w:eastAsia="SimSun"/>
          <w:sz w:val="20"/>
          <w:szCs w:val="20"/>
          <w:lang w:eastAsia="zh-CN"/>
        </w:rPr>
      </w:pPr>
      <w:r>
        <w:rPr>
          <w:rFonts w:eastAsia="SimSun"/>
          <w:sz w:val="20"/>
          <w:szCs w:val="20"/>
          <w:lang w:eastAsia="zh-CN"/>
        </w:rPr>
        <w:t>M=5 (number of interlaces)</w:t>
      </w:r>
    </w:p>
    <w:p w14:paraId="701E4C4A" w14:textId="77777777" w:rsidR="003F3129" w:rsidRDefault="003F3129" w:rsidP="003F3129">
      <w:pPr>
        <w:pStyle w:val="LGTdoc"/>
        <w:numPr>
          <w:ilvl w:val="1"/>
          <w:numId w:val="3"/>
        </w:numPr>
        <w:spacing w:afterLines="0" w:after="0" w:line="240" w:lineRule="auto"/>
        <w:rPr>
          <w:rFonts w:eastAsia="SimSun"/>
          <w:sz w:val="20"/>
          <w:szCs w:val="20"/>
          <w:lang w:eastAsia="zh-CN"/>
        </w:rPr>
      </w:pPr>
      <w:r>
        <w:rPr>
          <w:rFonts w:eastAsia="SimSun"/>
          <w:sz w:val="20"/>
          <w:szCs w:val="20"/>
          <w:lang w:eastAsia="zh-CN"/>
        </w:rPr>
        <w:lastRenderedPageBreak/>
        <w:t>30 kHz: a PRB based design with N=10 (nominal number of PRBs per interlace)</w:t>
      </w:r>
    </w:p>
    <w:p w14:paraId="5561975C" w14:textId="77777777" w:rsidR="003F3129" w:rsidRPr="00CE136E" w:rsidRDefault="003F3129" w:rsidP="003F3129">
      <w:pPr>
        <w:pStyle w:val="ListParagraph"/>
        <w:numPr>
          <w:ilvl w:val="1"/>
          <w:numId w:val="3"/>
        </w:numPr>
        <w:rPr>
          <w:sz w:val="20"/>
          <w:szCs w:val="20"/>
          <w:lang w:val="en-GB"/>
        </w:rPr>
      </w:pPr>
      <w:r w:rsidRPr="008A2F08">
        <w:rPr>
          <w:sz w:val="20"/>
          <w:szCs w:val="20"/>
          <w:lang w:val="en-GB"/>
        </w:rPr>
        <w:t xml:space="preserve">60 kHz: sub-PRB structure with 10 </w:t>
      </w:r>
      <w:r w:rsidRPr="008A2F08">
        <w:rPr>
          <w:kern w:val="2"/>
          <w:sz w:val="20"/>
          <w:szCs w:val="20"/>
          <w:lang w:val="en-GB"/>
        </w:rPr>
        <w:t xml:space="preserve">equally-spaces clusters of </w:t>
      </w:r>
      <w:r>
        <w:rPr>
          <w:kern w:val="2"/>
          <w:sz w:val="20"/>
          <w:szCs w:val="20"/>
          <w:lang w:val="en-GB"/>
        </w:rPr>
        <w:t xml:space="preserve">6 REs </w:t>
      </w:r>
      <w:r>
        <w:rPr>
          <w:sz w:val="20"/>
          <w:szCs w:val="20"/>
          <w:lang w:val="en-GB"/>
        </w:rPr>
        <w:t>(5 full PRBs)</w:t>
      </w:r>
    </w:p>
    <w:p w14:paraId="1BF89498" w14:textId="77777777" w:rsidR="003F3129" w:rsidRDefault="003F3129" w:rsidP="003F3129">
      <w:pPr>
        <w:pStyle w:val="LGTdoc"/>
        <w:numPr>
          <w:ilvl w:val="0"/>
          <w:numId w:val="3"/>
        </w:numPr>
        <w:spacing w:afterLines="0" w:after="0" w:line="240" w:lineRule="auto"/>
        <w:rPr>
          <w:rFonts w:eastAsia="SimSun"/>
          <w:sz w:val="20"/>
          <w:szCs w:val="20"/>
          <w:lang w:eastAsia="zh-CN"/>
        </w:rPr>
      </w:pPr>
      <w:r>
        <w:rPr>
          <w:rFonts w:eastAsia="SimSun"/>
          <w:sz w:val="20"/>
          <w:szCs w:val="20"/>
          <w:lang w:eastAsia="zh-CN"/>
        </w:rPr>
        <w:t>The interlace structure covers</w:t>
      </w:r>
      <w:r w:rsidRPr="000721F7">
        <w:rPr>
          <w:rFonts w:eastAsia="SimSun"/>
          <w:sz w:val="20"/>
          <w:szCs w:val="20"/>
          <w:lang w:eastAsia="zh-CN"/>
        </w:rPr>
        <w:t xml:space="preserve"> 18 MHz bandwidth</w:t>
      </w:r>
      <w:r>
        <w:rPr>
          <w:rFonts w:eastAsia="SimSun"/>
          <w:sz w:val="20"/>
          <w:szCs w:val="20"/>
          <w:lang w:eastAsia="zh-CN"/>
        </w:rPr>
        <w:t>. Bandwidth occupancy of single interlace is &gt;82% (/20 MHz). Hence, the design is compatible with the ETSI OCB rule.</w:t>
      </w:r>
      <w:r w:rsidRPr="000721F7">
        <w:rPr>
          <w:rFonts w:eastAsia="SimSun"/>
          <w:sz w:val="20"/>
          <w:szCs w:val="20"/>
          <w:lang w:eastAsia="zh-CN"/>
        </w:rPr>
        <w:t xml:space="preserve"> </w:t>
      </w:r>
    </w:p>
    <w:p w14:paraId="2A693B79" w14:textId="77777777" w:rsidR="003F3129" w:rsidRDefault="003F3129" w:rsidP="003F3129">
      <w:pPr>
        <w:pStyle w:val="LGTdoc"/>
        <w:numPr>
          <w:ilvl w:val="0"/>
          <w:numId w:val="3"/>
        </w:numPr>
        <w:spacing w:afterLines="0" w:after="0" w:line="240" w:lineRule="auto"/>
        <w:rPr>
          <w:rFonts w:eastAsia="SimSun"/>
          <w:sz w:val="20"/>
          <w:szCs w:val="20"/>
          <w:lang w:eastAsia="zh-CN"/>
        </w:rPr>
      </w:pPr>
      <w:r>
        <w:rPr>
          <w:rFonts w:eastAsia="SimSun"/>
          <w:sz w:val="20"/>
          <w:szCs w:val="20"/>
          <w:lang w:eastAsia="zh-CN"/>
        </w:rPr>
        <w:t xml:space="preserve">This design benefits from </w:t>
      </w:r>
      <w:r w:rsidRPr="00FB15C5">
        <w:rPr>
          <w:rFonts w:eastAsia="SimSun"/>
          <w:b/>
          <w:bCs/>
          <w:sz w:val="20"/>
          <w:szCs w:val="20"/>
          <w:u w:val="single"/>
          <w:lang w:eastAsia="zh-CN"/>
        </w:rPr>
        <w:t>10 dB</w:t>
      </w:r>
      <w:r>
        <w:rPr>
          <w:rFonts w:eastAsia="SimSun"/>
          <w:sz w:val="20"/>
          <w:szCs w:val="20"/>
          <w:lang w:eastAsia="zh-CN"/>
        </w:rPr>
        <w:t xml:space="preserve"> power boost compared to a narrowband transmission (such as 1 PRB transmission).</w:t>
      </w:r>
    </w:p>
    <w:p w14:paraId="221B69E6" w14:textId="77777777" w:rsidR="003F3129" w:rsidRDefault="003F3129" w:rsidP="003F3129">
      <w:pPr>
        <w:pStyle w:val="LGTdoc"/>
        <w:spacing w:afterLines="0" w:after="0" w:line="240" w:lineRule="auto"/>
        <w:rPr>
          <w:rFonts w:eastAsia="SimSun"/>
          <w:sz w:val="20"/>
          <w:szCs w:val="20"/>
          <w:lang w:eastAsia="zh-CN"/>
        </w:rPr>
      </w:pPr>
    </w:p>
    <w:p w14:paraId="242D93DF" w14:textId="125875A1" w:rsidR="00CC3373" w:rsidRPr="003C5264" w:rsidRDefault="003F3129" w:rsidP="00CC3373">
      <w:pPr>
        <w:pStyle w:val="LGTdoc"/>
        <w:spacing w:afterLines="0" w:after="0" w:line="240" w:lineRule="auto"/>
        <w:rPr>
          <w:rFonts w:eastAsia="SimSun"/>
          <w:sz w:val="20"/>
          <w:szCs w:val="20"/>
          <w:lang w:eastAsia="zh-CN"/>
        </w:rPr>
      </w:pPr>
      <w:r>
        <w:rPr>
          <w:rFonts w:eastAsia="SimSun"/>
          <w:sz w:val="20"/>
          <w:szCs w:val="20"/>
          <w:lang w:eastAsia="zh-CN"/>
        </w:rPr>
        <w:t xml:space="preserve">The interlace design can maximally reuse the standardization and implementation efforts made for LTE LAA. It facilitates also good coexistence between LTE LAA and NR-U. Furthermore, different numerologies have good coexistence w.r.t. each other. Finally, multiplexing capacity is sufficiently high, and all interlaces are compatible with DFT-S-OFDM. The design is included on part of 15 kHz and 30 kHz SCSs into the RAN1#94bis [3] agreement of </w:t>
      </w:r>
      <w:r w:rsidRPr="00CE136E">
        <w:rPr>
          <w:rFonts w:eastAsia="SimSun"/>
          <w:sz w:val="20"/>
          <w:szCs w:val="20"/>
          <w:lang w:eastAsia="zh-CN"/>
        </w:rPr>
        <w:t>candidate PRB-based interlace designs</w:t>
      </w:r>
      <w:r>
        <w:rPr>
          <w:rFonts w:eastAsia="SimSun"/>
          <w:sz w:val="20"/>
          <w:szCs w:val="20"/>
          <w:lang w:eastAsia="zh-CN"/>
        </w:rPr>
        <w:t xml:space="preserve">. In </w:t>
      </w:r>
      <w:r w:rsidR="00F83CD4">
        <w:rPr>
          <w:rFonts w:eastAsia="SimSun"/>
          <w:sz w:val="20"/>
          <w:szCs w:val="20"/>
          <w:lang w:eastAsia="zh-CN"/>
        </w:rPr>
        <w:t>[4]</w:t>
      </w:r>
      <w:r>
        <w:rPr>
          <w:rFonts w:eastAsia="SimSun"/>
          <w:sz w:val="20"/>
          <w:szCs w:val="20"/>
          <w:lang w:eastAsia="zh-CN"/>
        </w:rPr>
        <w:t xml:space="preserve"> we consider in more detail sub-PRB interlace design for 60 kHz SCS.</w:t>
      </w:r>
    </w:p>
    <w:p w14:paraId="149E54BD" w14:textId="77777777" w:rsidR="007618A3" w:rsidRDefault="007618A3" w:rsidP="007618A3">
      <w:pPr>
        <w:pStyle w:val="LGTdoc"/>
        <w:spacing w:afterLines="0" w:after="0" w:line="240" w:lineRule="auto"/>
        <w:rPr>
          <w:rFonts w:eastAsia="SimSun"/>
          <w:sz w:val="20"/>
          <w:szCs w:val="20"/>
          <w:lang w:eastAsia="zh-CN"/>
        </w:rPr>
      </w:pPr>
    </w:p>
    <w:tbl>
      <w:tblPr>
        <w:tblStyle w:val="TableGrid"/>
        <w:tblW w:w="0" w:type="auto"/>
        <w:tblLook w:val="04A0" w:firstRow="1" w:lastRow="0" w:firstColumn="1" w:lastColumn="0" w:noHBand="0" w:noVBand="1"/>
      </w:tblPr>
      <w:tblGrid>
        <w:gridCol w:w="9771"/>
      </w:tblGrid>
      <w:tr w:rsidR="007618A3" w14:paraId="7B2CFBBD" w14:textId="77777777" w:rsidTr="004A574B">
        <w:tc>
          <w:tcPr>
            <w:tcW w:w="9771" w:type="dxa"/>
            <w:shd w:val="clear" w:color="auto" w:fill="auto"/>
          </w:tcPr>
          <w:p w14:paraId="4F9BB91C" w14:textId="77777777" w:rsidR="007618A3" w:rsidRDefault="007618A3" w:rsidP="004A574B">
            <w:pPr>
              <w:pStyle w:val="LGTdoc"/>
              <w:spacing w:afterLines="0" w:line="240" w:lineRule="auto"/>
              <w:rPr>
                <w:rFonts w:eastAsia="SimSun"/>
                <w:sz w:val="20"/>
                <w:szCs w:val="20"/>
                <w:lang w:eastAsia="zh-CN"/>
              </w:rPr>
            </w:pPr>
            <w:r>
              <w:rPr>
                <w:noProof/>
              </w:rPr>
              <w:drawing>
                <wp:inline distT="0" distB="0" distL="0" distR="0" wp14:anchorId="3284B2CC" wp14:editId="27CC0ADC">
                  <wp:extent cx="6210935" cy="125984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210935" cy="1259840"/>
                          </a:xfrm>
                          <a:prstGeom prst="rect">
                            <a:avLst/>
                          </a:prstGeom>
                        </pic:spPr>
                      </pic:pic>
                    </a:graphicData>
                  </a:graphic>
                </wp:inline>
              </w:drawing>
            </w:r>
          </w:p>
          <w:p w14:paraId="2419570B" w14:textId="0F39179A" w:rsidR="007618A3" w:rsidRDefault="007618A3" w:rsidP="003C5264">
            <w:pPr>
              <w:pStyle w:val="LGTdoc"/>
              <w:numPr>
                <w:ilvl w:val="0"/>
                <w:numId w:val="15"/>
              </w:numPr>
              <w:spacing w:afterLines="0" w:after="0" w:line="240" w:lineRule="auto"/>
              <w:ind w:left="714" w:hanging="357"/>
              <w:jc w:val="center"/>
              <w:rPr>
                <w:rFonts w:eastAsia="SimSun"/>
                <w:sz w:val="20"/>
                <w:szCs w:val="20"/>
                <w:lang w:eastAsia="zh-CN"/>
              </w:rPr>
            </w:pPr>
            <w:r>
              <w:rPr>
                <w:rFonts w:eastAsia="SimSun"/>
                <w:sz w:val="20"/>
                <w:szCs w:val="20"/>
                <w:lang w:eastAsia="zh-CN"/>
              </w:rPr>
              <w:t>15 kHz subcarrier spacing</w:t>
            </w:r>
          </w:p>
        </w:tc>
      </w:tr>
      <w:tr w:rsidR="007618A3" w14:paraId="48B4CD81" w14:textId="77777777" w:rsidTr="004A574B">
        <w:tc>
          <w:tcPr>
            <w:tcW w:w="9771" w:type="dxa"/>
            <w:shd w:val="clear" w:color="auto" w:fill="auto"/>
          </w:tcPr>
          <w:p w14:paraId="07C26B17" w14:textId="77777777" w:rsidR="007618A3" w:rsidRDefault="007618A3" w:rsidP="004A574B">
            <w:pPr>
              <w:pStyle w:val="LGTdoc"/>
              <w:spacing w:afterLines="0" w:line="240" w:lineRule="auto"/>
              <w:rPr>
                <w:rFonts w:eastAsia="SimSun"/>
                <w:sz w:val="20"/>
                <w:szCs w:val="20"/>
                <w:lang w:eastAsia="zh-CN"/>
              </w:rPr>
            </w:pPr>
            <w:r>
              <w:rPr>
                <w:noProof/>
              </w:rPr>
              <w:drawing>
                <wp:inline distT="0" distB="0" distL="0" distR="0" wp14:anchorId="59C97017" wp14:editId="1FDDF7DA">
                  <wp:extent cx="6210935" cy="135763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210935" cy="1357630"/>
                          </a:xfrm>
                          <a:prstGeom prst="rect">
                            <a:avLst/>
                          </a:prstGeom>
                        </pic:spPr>
                      </pic:pic>
                    </a:graphicData>
                  </a:graphic>
                </wp:inline>
              </w:drawing>
            </w:r>
          </w:p>
          <w:p w14:paraId="4892F459" w14:textId="255E9016" w:rsidR="007618A3" w:rsidRDefault="007618A3" w:rsidP="003C5264">
            <w:pPr>
              <w:pStyle w:val="LGTdoc"/>
              <w:numPr>
                <w:ilvl w:val="0"/>
                <w:numId w:val="15"/>
              </w:numPr>
              <w:spacing w:afterLines="0" w:after="0" w:line="240" w:lineRule="auto"/>
              <w:ind w:left="714" w:hanging="357"/>
              <w:jc w:val="center"/>
              <w:rPr>
                <w:rFonts w:eastAsia="SimSun"/>
                <w:sz w:val="20"/>
                <w:szCs w:val="20"/>
                <w:lang w:eastAsia="zh-CN"/>
              </w:rPr>
            </w:pPr>
            <w:r>
              <w:rPr>
                <w:rFonts w:eastAsia="SimSun"/>
                <w:sz w:val="20"/>
                <w:szCs w:val="20"/>
                <w:lang w:eastAsia="zh-CN"/>
              </w:rPr>
              <w:t>30 kHz and 60 kHz subcarrier spacing</w:t>
            </w:r>
          </w:p>
        </w:tc>
      </w:tr>
    </w:tbl>
    <w:p w14:paraId="5B3C992A" w14:textId="77777777" w:rsidR="007618A3" w:rsidRDefault="007618A3" w:rsidP="007618A3">
      <w:pPr>
        <w:pStyle w:val="LGTdoc"/>
        <w:spacing w:afterLines="0" w:after="0" w:line="240" w:lineRule="auto"/>
        <w:rPr>
          <w:rFonts w:eastAsia="SimSun"/>
          <w:sz w:val="20"/>
          <w:szCs w:val="20"/>
          <w:lang w:eastAsia="zh-CN"/>
        </w:rPr>
      </w:pPr>
    </w:p>
    <w:p w14:paraId="3ECCCF27" w14:textId="5DC80CA0" w:rsidR="007618A3" w:rsidRDefault="007618A3" w:rsidP="003C5264">
      <w:pPr>
        <w:pStyle w:val="Caption"/>
        <w:spacing w:before="0"/>
        <w:jc w:val="center"/>
      </w:pPr>
      <w:r>
        <w:t xml:space="preserve">Figure </w:t>
      </w:r>
      <w:r>
        <w:fldChar w:fldCharType="begin"/>
      </w:r>
      <w:r>
        <w:instrText xml:space="preserve"> SEQ Figure \* ARABIC </w:instrText>
      </w:r>
      <w:r>
        <w:fldChar w:fldCharType="separate"/>
      </w:r>
      <w:r w:rsidR="00185DD9">
        <w:rPr>
          <w:noProof/>
        </w:rPr>
        <w:t>1</w:t>
      </w:r>
      <w:r>
        <w:fldChar w:fldCharType="end"/>
      </w:r>
      <w:r>
        <w:t xml:space="preserve">. </w:t>
      </w:r>
      <w:r w:rsidR="003F3129">
        <w:t xml:space="preserve">Considered </w:t>
      </w:r>
      <w:r>
        <w:t xml:space="preserve">interlace </w:t>
      </w:r>
      <w:r w:rsidR="00857984">
        <w:t>structures</w:t>
      </w:r>
      <w:r w:rsidR="00DD3F3F">
        <w:t>.</w:t>
      </w:r>
    </w:p>
    <w:p w14:paraId="5233DE6A" w14:textId="77777777" w:rsidR="007618A3" w:rsidRDefault="007618A3" w:rsidP="007618A3">
      <w:pPr>
        <w:pStyle w:val="LGTdoc"/>
        <w:spacing w:afterLines="0" w:after="0" w:line="240" w:lineRule="auto"/>
        <w:rPr>
          <w:rFonts w:eastAsia="SimSun"/>
          <w:b/>
          <w:sz w:val="20"/>
          <w:szCs w:val="20"/>
          <w:u w:val="single"/>
          <w:lang w:eastAsia="zh-CN"/>
        </w:rPr>
      </w:pPr>
    </w:p>
    <w:p w14:paraId="2AE85AC8" w14:textId="5E9944A5" w:rsidR="007618A3" w:rsidRDefault="007618A3" w:rsidP="007618A3">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Parameters for </w:t>
      </w:r>
      <w:r w:rsidR="003F3129">
        <w:t xml:space="preserve">considered </w:t>
      </w:r>
      <w:r>
        <w:t>interlaced structure</w:t>
      </w:r>
      <w:r w:rsidR="00E52C67">
        <w:t>s</w:t>
      </w:r>
    </w:p>
    <w:p w14:paraId="2EEF6F11" w14:textId="77777777" w:rsidR="007618A3" w:rsidRDefault="007618A3" w:rsidP="007618A3">
      <w:pPr>
        <w:pStyle w:val="LGTdoc"/>
        <w:spacing w:afterLines="0" w:after="0" w:line="240" w:lineRule="auto"/>
        <w:jc w:val="center"/>
        <w:rPr>
          <w:rFonts w:eastAsia="SimSun"/>
          <w:b/>
          <w:sz w:val="20"/>
          <w:szCs w:val="20"/>
          <w:u w:val="single"/>
          <w:lang w:eastAsia="zh-CN"/>
        </w:rPr>
      </w:pPr>
      <w:r w:rsidRPr="00DC0CB2">
        <w:rPr>
          <w:rFonts w:eastAsia="SimSun"/>
          <w:noProof/>
          <w:sz w:val="20"/>
          <w:szCs w:val="20"/>
          <w:lang w:eastAsia="zh-CN"/>
        </w:rPr>
        <w:drawing>
          <wp:inline distT="0" distB="0" distL="0" distR="0" wp14:anchorId="217A2357" wp14:editId="65AA7C79">
            <wp:extent cx="6210935" cy="1193165"/>
            <wp:effectExtent l="0" t="0" r="0" b="6985"/>
            <wp:docPr id="13" name="Picture 26">
              <a:extLst xmlns:a="http://schemas.openxmlformats.org/drawingml/2006/main">
                <a:ext uri="{FF2B5EF4-FFF2-40B4-BE49-F238E27FC236}">
                  <a16:creationId xmlns:a16="http://schemas.microsoft.com/office/drawing/2014/main" id="{65AE8688-2354-4C2C-B2FD-353C0378CA4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6">
                      <a:extLst>
                        <a:ext uri="{FF2B5EF4-FFF2-40B4-BE49-F238E27FC236}">
                          <a16:creationId xmlns:a16="http://schemas.microsoft.com/office/drawing/2014/main" id="{65AE8688-2354-4C2C-B2FD-353C0378CA45}"/>
                        </a:ext>
                      </a:extLst>
                    </pic:cNvPr>
                    <pic:cNvPicPr>
                      <a:picLocks noChangeAspect="1"/>
                    </pic:cNvPicPr>
                  </pic:nvPicPr>
                  <pic:blipFill>
                    <a:blip r:embed="rId17"/>
                    <a:stretch>
                      <a:fillRect/>
                    </a:stretch>
                  </pic:blipFill>
                  <pic:spPr>
                    <a:xfrm>
                      <a:off x="0" y="0"/>
                      <a:ext cx="6210935" cy="1193165"/>
                    </a:xfrm>
                    <a:prstGeom prst="rect">
                      <a:avLst/>
                    </a:prstGeom>
                  </pic:spPr>
                </pic:pic>
              </a:graphicData>
            </a:graphic>
          </wp:inline>
        </w:drawing>
      </w:r>
    </w:p>
    <w:p w14:paraId="051596F6" w14:textId="6BF0CFAC" w:rsidR="002D76C6" w:rsidRDefault="002D76C6" w:rsidP="002D76C6">
      <w:pPr>
        <w:spacing w:after="0"/>
        <w:jc w:val="both"/>
        <w:rPr>
          <w:lang w:val="en-US"/>
        </w:rPr>
      </w:pPr>
    </w:p>
    <w:p w14:paraId="5CC1B524" w14:textId="0E89BAB0" w:rsidR="00186C5C" w:rsidRPr="001F28AA" w:rsidRDefault="002D76C6" w:rsidP="00186C5C">
      <w:pPr>
        <w:pStyle w:val="Heading1"/>
      </w:pPr>
      <w:r>
        <w:rPr>
          <w:color w:val="000000"/>
        </w:rPr>
        <w:t>3</w:t>
      </w:r>
      <w:r w:rsidR="00186C5C" w:rsidRPr="00A51522">
        <w:rPr>
          <w:color w:val="000000"/>
        </w:rPr>
        <w:tab/>
      </w:r>
      <w:r>
        <w:t>Simulation results</w:t>
      </w:r>
    </w:p>
    <w:p w14:paraId="1BF1E24D" w14:textId="34B7BAA2" w:rsidR="005C4E25" w:rsidRDefault="005C4E25" w:rsidP="005C4E25">
      <w:pPr>
        <w:spacing w:after="0"/>
      </w:pPr>
      <w:r>
        <w:rPr>
          <w:lang w:val="en-US"/>
        </w:rPr>
        <w:t xml:space="preserve">In the following we investigate the maximum achievable Tx power for </w:t>
      </w:r>
      <w:r w:rsidR="00957709">
        <w:rPr>
          <w:lang w:val="en-US"/>
        </w:rPr>
        <w:t xml:space="preserve">different interlace </w:t>
      </w:r>
      <w:r w:rsidR="008A2F08">
        <w:rPr>
          <w:lang w:val="en-US"/>
        </w:rPr>
        <w:t>structures depicted in Section 2</w:t>
      </w:r>
      <w:r>
        <w:t xml:space="preserve">. Figure </w:t>
      </w:r>
      <w:r w:rsidR="003F3129">
        <w:t xml:space="preserve">3 </w:t>
      </w:r>
      <w:r>
        <w:t>below shows the four simulation cases:</w:t>
      </w:r>
    </w:p>
    <w:p w14:paraId="703E1EB7" w14:textId="3F3520DA" w:rsidR="005C4E25" w:rsidRDefault="005C4E25" w:rsidP="007618A3">
      <w:pPr>
        <w:pStyle w:val="ListParagraph"/>
        <w:numPr>
          <w:ilvl w:val="0"/>
          <w:numId w:val="5"/>
        </w:numPr>
        <w:rPr>
          <w:sz w:val="20"/>
          <w:lang w:val="en-US"/>
        </w:rPr>
      </w:pPr>
      <w:r>
        <w:rPr>
          <w:sz w:val="20"/>
          <w:lang w:val="en-US"/>
        </w:rPr>
        <w:t>Subcarrier spacing: [15, 30] kHz</w:t>
      </w:r>
    </w:p>
    <w:p w14:paraId="743A1333" w14:textId="7DBC7581" w:rsidR="005C4E25" w:rsidRDefault="005C4E25" w:rsidP="007618A3">
      <w:pPr>
        <w:pStyle w:val="ListParagraph"/>
        <w:numPr>
          <w:ilvl w:val="0"/>
          <w:numId w:val="5"/>
        </w:numPr>
        <w:rPr>
          <w:sz w:val="20"/>
          <w:lang w:val="en-US"/>
        </w:rPr>
      </w:pPr>
      <w:r>
        <w:rPr>
          <w:sz w:val="20"/>
          <w:lang w:val="en-US"/>
        </w:rPr>
        <w:t>Cluster size: 1 PRB</w:t>
      </w:r>
    </w:p>
    <w:p w14:paraId="41F4D757" w14:textId="201F909A" w:rsidR="005C4E25" w:rsidRDefault="005C4E25" w:rsidP="007618A3">
      <w:pPr>
        <w:pStyle w:val="ListParagraph"/>
        <w:numPr>
          <w:ilvl w:val="0"/>
          <w:numId w:val="5"/>
        </w:numPr>
        <w:rPr>
          <w:sz w:val="20"/>
          <w:lang w:val="en-US"/>
        </w:rPr>
      </w:pPr>
      <w:r>
        <w:rPr>
          <w:sz w:val="20"/>
          <w:lang w:val="en-US"/>
        </w:rPr>
        <w:t>Number of interlaces:</w:t>
      </w:r>
    </w:p>
    <w:p w14:paraId="529C5CF4" w14:textId="75FB1A31" w:rsidR="005C4E25" w:rsidRDefault="005C4E25" w:rsidP="007618A3">
      <w:pPr>
        <w:pStyle w:val="ListParagraph"/>
        <w:numPr>
          <w:ilvl w:val="1"/>
          <w:numId w:val="5"/>
        </w:numPr>
        <w:rPr>
          <w:sz w:val="20"/>
          <w:lang w:val="en-US"/>
        </w:rPr>
      </w:pPr>
      <w:r>
        <w:rPr>
          <w:sz w:val="20"/>
          <w:lang w:val="en-US"/>
        </w:rPr>
        <w:t xml:space="preserve">15 kHz: 10 interlaces, each having 10 equally spaced clusters </w:t>
      </w:r>
    </w:p>
    <w:p w14:paraId="0AF5C3F2" w14:textId="324CC874" w:rsidR="005C4E25" w:rsidRPr="005C4E25" w:rsidRDefault="005C4E25" w:rsidP="007618A3">
      <w:pPr>
        <w:pStyle w:val="ListParagraph"/>
        <w:numPr>
          <w:ilvl w:val="1"/>
          <w:numId w:val="5"/>
        </w:numPr>
        <w:rPr>
          <w:sz w:val="20"/>
          <w:lang w:val="en-US"/>
        </w:rPr>
      </w:pPr>
      <w:r>
        <w:rPr>
          <w:sz w:val="20"/>
          <w:lang w:val="en-US"/>
        </w:rPr>
        <w:t>30 kHz: 5 interlaces, each having 10 equally spaced clusters</w:t>
      </w:r>
      <w:r w:rsidR="00582ACE">
        <w:rPr>
          <w:sz w:val="20"/>
          <w:lang w:val="en-US"/>
        </w:rPr>
        <w:t>.</w:t>
      </w:r>
    </w:p>
    <w:p w14:paraId="6E6B14B3" w14:textId="77777777" w:rsidR="005C4E25" w:rsidRDefault="005C4E25" w:rsidP="00FA447A">
      <w:pPr>
        <w:rPr>
          <w:lang w:val="en-US"/>
        </w:rPr>
      </w:pPr>
    </w:p>
    <w:p w14:paraId="56CC262B" w14:textId="277CDCDA" w:rsidR="002D76C6" w:rsidRDefault="005C4E25" w:rsidP="002D76C6">
      <w:pPr>
        <w:keepNext/>
      </w:pPr>
      <w:r w:rsidRPr="005C4E25">
        <w:rPr>
          <w:noProof/>
        </w:rPr>
        <w:lastRenderedPageBreak/>
        <w:drawing>
          <wp:inline distT="0" distB="0" distL="0" distR="0" wp14:anchorId="2D434CDD" wp14:editId="6E1EA02F">
            <wp:extent cx="6210935" cy="1553756"/>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210935" cy="1553756"/>
                    </a:xfrm>
                    <a:prstGeom prst="rect">
                      <a:avLst/>
                    </a:prstGeom>
                    <a:noFill/>
                    <a:ln>
                      <a:noFill/>
                    </a:ln>
                  </pic:spPr>
                </pic:pic>
              </a:graphicData>
            </a:graphic>
          </wp:inline>
        </w:drawing>
      </w:r>
    </w:p>
    <w:p w14:paraId="17B04F87" w14:textId="3BF70261" w:rsidR="002D76C6" w:rsidRDefault="002D76C6" w:rsidP="005C4E25">
      <w:pPr>
        <w:pStyle w:val="Caption"/>
        <w:jc w:val="center"/>
        <w:rPr>
          <w:lang w:val="en-US"/>
        </w:rPr>
      </w:pPr>
      <w:r>
        <w:t xml:space="preserve">Figure </w:t>
      </w:r>
      <w:r>
        <w:fldChar w:fldCharType="begin"/>
      </w:r>
      <w:r>
        <w:instrText xml:space="preserve"> SEQ Figure \* ARABIC </w:instrText>
      </w:r>
      <w:r>
        <w:fldChar w:fldCharType="separate"/>
      </w:r>
      <w:r w:rsidR="006A1857">
        <w:rPr>
          <w:noProof/>
        </w:rPr>
        <w:t>2</w:t>
      </w:r>
      <w:r>
        <w:fldChar w:fldCharType="end"/>
      </w:r>
      <w:r w:rsidR="005C4E25">
        <w:t>. Simulation cases</w:t>
      </w:r>
      <w:r w:rsidR="00582ACE">
        <w:t>.</w:t>
      </w:r>
    </w:p>
    <w:p w14:paraId="59579B04" w14:textId="77777777" w:rsidR="005C4E25" w:rsidRDefault="005C4E25" w:rsidP="00FA447A">
      <w:pPr>
        <w:rPr>
          <w:lang w:val="en-US"/>
        </w:rPr>
      </w:pPr>
    </w:p>
    <w:p w14:paraId="4FCE1332" w14:textId="678EFB08" w:rsidR="001D52A1" w:rsidRDefault="005C4E25" w:rsidP="00FA447A">
      <w:pPr>
        <w:rPr>
          <w:lang w:val="en-US"/>
        </w:rPr>
      </w:pPr>
      <w:r>
        <w:rPr>
          <w:lang w:val="en-US"/>
        </w:rPr>
        <w:t xml:space="preserve">In the simulations, we consider both </w:t>
      </w:r>
      <w:r w:rsidR="00582ACE" w:rsidRPr="00FA447A">
        <w:rPr>
          <w:lang w:val="en-US"/>
        </w:rPr>
        <w:t>CP</w:t>
      </w:r>
      <w:r w:rsidR="00582ACE">
        <w:rPr>
          <w:lang w:val="en-US"/>
        </w:rPr>
        <w:t>-</w:t>
      </w:r>
      <w:r w:rsidR="00FA447A" w:rsidRPr="00FA447A">
        <w:rPr>
          <w:lang w:val="en-US"/>
        </w:rPr>
        <w:t>OFDM and DFT-S-OFDM</w:t>
      </w:r>
      <w:r>
        <w:rPr>
          <w:lang w:val="en-US"/>
        </w:rPr>
        <w:t xml:space="preserve"> waveforms. </w:t>
      </w:r>
      <w:r w:rsidR="001D52A1">
        <w:rPr>
          <w:lang w:val="en-US"/>
        </w:rPr>
        <w:t>The simulation assumptions are according to RAN4 minimum requirements and RF impairments that have been used for NR. The Power Amplifier model is based on a measured PA</w:t>
      </w:r>
      <w:r w:rsidR="00DB09E2">
        <w:rPr>
          <w:lang w:val="en-US"/>
        </w:rPr>
        <w:t xml:space="preserve">. </w:t>
      </w:r>
    </w:p>
    <w:p w14:paraId="0AE67188" w14:textId="45790A31" w:rsidR="001B55D8" w:rsidRDefault="00582ACE" w:rsidP="001B55D8">
      <w:pPr>
        <w:rPr>
          <w:lang w:val="en-US"/>
        </w:rPr>
      </w:pPr>
      <w:r>
        <w:rPr>
          <w:lang w:val="en-US"/>
        </w:rPr>
        <w:t xml:space="preserve">Figure </w:t>
      </w:r>
      <w:r w:rsidR="003F3129">
        <w:rPr>
          <w:lang w:val="en-US"/>
        </w:rPr>
        <w:t xml:space="preserve">4 </w:t>
      </w:r>
      <w:r>
        <w:rPr>
          <w:lang w:val="en-US"/>
        </w:rPr>
        <w:t>shows</w:t>
      </w:r>
      <w:r w:rsidR="00687B00">
        <w:rPr>
          <w:lang w:val="en-US"/>
        </w:rPr>
        <w:t xml:space="preserve"> a spectrum emission simulation with CP-OFDM, 30 kHz SCS, and QPSK modulation, against the ETSI emission mask and 10 dBm/MHz PSD limit</w:t>
      </w:r>
      <w:r>
        <w:rPr>
          <w:lang w:val="en-US"/>
        </w:rPr>
        <w:t>.</w:t>
      </w:r>
      <w:r w:rsidR="001B55D8">
        <w:rPr>
          <w:lang w:val="en-US"/>
        </w:rPr>
        <w:t xml:space="preserve"> </w:t>
      </w:r>
      <w:proofErr w:type="gramStart"/>
      <w:r w:rsidR="001B55D8">
        <w:rPr>
          <w:lang w:val="en-US"/>
        </w:rPr>
        <w:t>It can be seen that the</w:t>
      </w:r>
      <w:proofErr w:type="gramEnd"/>
      <w:r w:rsidR="001B55D8">
        <w:rPr>
          <w:lang w:val="en-US"/>
        </w:rPr>
        <w:t xml:space="preserve"> CP-OFDM output power is limited by the 10 dBm/MHz PSD limit, and that there is some margin to the emission mask (2.3 dB) and NR-ACLR (1.2 dB).</w:t>
      </w:r>
    </w:p>
    <w:p w14:paraId="290B278F" w14:textId="0E19B2A1" w:rsidR="0045360A" w:rsidRDefault="0045360A" w:rsidP="00FA447A">
      <w:pPr>
        <w:rPr>
          <w:lang w:val="en-US"/>
        </w:rPr>
      </w:pPr>
    </w:p>
    <w:p w14:paraId="0DDD45B4" w14:textId="0DA92A36" w:rsidR="00687B00" w:rsidRDefault="00687B00" w:rsidP="00204048">
      <w:pPr>
        <w:jc w:val="center"/>
        <w:rPr>
          <w:lang w:val="en-US"/>
        </w:rPr>
      </w:pPr>
      <w:r>
        <w:rPr>
          <w:noProof/>
          <w:lang w:val="en-US"/>
        </w:rPr>
        <w:drawing>
          <wp:inline distT="0" distB="0" distL="0" distR="0" wp14:anchorId="643C0773" wp14:editId="606C895D">
            <wp:extent cx="4422335" cy="405595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ec_30khz_1i_ofdma_etsi.png"/>
                    <pic:cNvPicPr/>
                  </pic:nvPicPr>
                  <pic:blipFill rotWithShape="1">
                    <a:blip r:embed="rId19" cstate="print">
                      <a:extLst>
                        <a:ext uri="{28A0092B-C50C-407E-A947-70E740481C1C}">
                          <a14:useLocalDpi xmlns:a14="http://schemas.microsoft.com/office/drawing/2010/main" val="0"/>
                        </a:ext>
                      </a:extLst>
                    </a:blip>
                    <a:srcRect t="5430" b="4467"/>
                    <a:stretch/>
                  </pic:blipFill>
                  <pic:spPr bwMode="auto">
                    <a:xfrm>
                      <a:off x="0" y="0"/>
                      <a:ext cx="4430841" cy="4063754"/>
                    </a:xfrm>
                    <a:prstGeom prst="rect">
                      <a:avLst/>
                    </a:prstGeom>
                    <a:ln>
                      <a:noFill/>
                    </a:ln>
                    <a:extLst>
                      <a:ext uri="{53640926-AAD7-44D8-BBD7-CCE9431645EC}">
                        <a14:shadowObscured xmlns:a14="http://schemas.microsoft.com/office/drawing/2010/main"/>
                      </a:ext>
                    </a:extLst>
                  </pic:spPr>
                </pic:pic>
              </a:graphicData>
            </a:graphic>
          </wp:inline>
        </w:drawing>
      </w:r>
    </w:p>
    <w:p w14:paraId="7ED89DC1" w14:textId="4BF15D94" w:rsidR="00582ACE" w:rsidRPr="00EA1FAB" w:rsidRDefault="00582ACE" w:rsidP="00582ACE">
      <w:pPr>
        <w:pStyle w:val="Caption"/>
        <w:jc w:val="center"/>
        <w:rPr>
          <w:lang w:val="en-US"/>
        </w:rPr>
      </w:pPr>
      <w:r>
        <w:t xml:space="preserve">Figure </w:t>
      </w:r>
      <w:r>
        <w:fldChar w:fldCharType="begin"/>
      </w:r>
      <w:r>
        <w:instrText xml:space="preserve"> SEQ Figure \* ARABIC </w:instrText>
      </w:r>
      <w:r>
        <w:fldChar w:fldCharType="separate"/>
      </w:r>
      <w:r w:rsidR="006A1857">
        <w:rPr>
          <w:noProof/>
        </w:rPr>
        <w:t>3</w:t>
      </w:r>
      <w:r>
        <w:fldChar w:fldCharType="end"/>
      </w:r>
      <w:r>
        <w:t xml:space="preserve">. Tx spectrum w.r.t. ETSI SEM: 1 interlace, </w:t>
      </w:r>
      <w:r w:rsidRPr="00EA1FAB">
        <w:t>CP-OFDM, 30 kHz SCS, and QPSK modulation.</w:t>
      </w:r>
    </w:p>
    <w:p w14:paraId="2B119E2E" w14:textId="77777777" w:rsidR="002B1D53" w:rsidRDefault="002B1D53" w:rsidP="00FA447A">
      <w:pPr>
        <w:rPr>
          <w:lang w:val="en-US"/>
        </w:rPr>
      </w:pPr>
    </w:p>
    <w:p w14:paraId="4019256E" w14:textId="4F88E2DA" w:rsidR="00377260" w:rsidRDefault="00377260" w:rsidP="00FA447A">
      <w:pPr>
        <w:rPr>
          <w:lang w:val="en-US"/>
        </w:rPr>
      </w:pPr>
      <w:r>
        <w:rPr>
          <w:lang w:val="en-US"/>
        </w:rPr>
        <w:t xml:space="preserve">Comparison of different DFT-s-OFDM and CP-OFDM waveforms with a single 15 or 30 kHz interlace are shown </w:t>
      </w:r>
      <w:r w:rsidR="00582ACE">
        <w:rPr>
          <w:lang w:val="en-US"/>
        </w:rPr>
        <w:t xml:space="preserve">in Figure </w:t>
      </w:r>
      <w:r w:rsidR="003F3129">
        <w:rPr>
          <w:lang w:val="en-US"/>
        </w:rPr>
        <w:t>5</w:t>
      </w:r>
      <w:r>
        <w:rPr>
          <w:lang w:val="en-US"/>
        </w:rPr>
        <w:t>, against ETSI and LTE masks, with 10 dBm/MHz and 11 dBm/MHz PSD limits respectively</w:t>
      </w:r>
      <w:r w:rsidR="001B55D8">
        <w:rPr>
          <w:lang w:val="en-US"/>
        </w:rPr>
        <w:t>.</w:t>
      </w:r>
    </w:p>
    <w:p w14:paraId="104D42E5" w14:textId="3A181AB4" w:rsidR="00377260" w:rsidRDefault="00377260" w:rsidP="00204048">
      <w:pPr>
        <w:ind w:left="-851" w:right="-851"/>
        <w:rPr>
          <w:lang w:val="en-US"/>
        </w:rPr>
      </w:pPr>
      <w:r>
        <w:rPr>
          <w:noProof/>
          <w:lang w:val="en-US"/>
        </w:rPr>
        <w:lastRenderedPageBreak/>
        <w:drawing>
          <wp:inline distT="0" distB="0" distL="0" distR="0" wp14:anchorId="2D4B1FC5" wp14:editId="0D8DE75F">
            <wp:extent cx="3648414" cy="3174893"/>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pec_all_etsi.png"/>
                    <pic:cNvPicPr/>
                  </pic:nvPicPr>
                  <pic:blipFill rotWithShape="1">
                    <a:blip r:embed="rId20" cstate="print">
                      <a:extLst>
                        <a:ext uri="{28A0092B-C50C-407E-A947-70E740481C1C}">
                          <a14:useLocalDpi xmlns:a14="http://schemas.microsoft.com/office/drawing/2010/main" val="0"/>
                        </a:ext>
                      </a:extLst>
                    </a:blip>
                    <a:srcRect l="6202" r="7611"/>
                    <a:stretch/>
                  </pic:blipFill>
                  <pic:spPr bwMode="auto">
                    <a:xfrm>
                      <a:off x="0" y="0"/>
                      <a:ext cx="3648767" cy="3175200"/>
                    </a:xfrm>
                    <a:prstGeom prst="rect">
                      <a:avLst/>
                    </a:prstGeom>
                    <a:ln>
                      <a:noFill/>
                    </a:ln>
                    <a:extLst>
                      <a:ext uri="{53640926-AAD7-44D8-BBD7-CCE9431645EC}">
                        <a14:shadowObscured xmlns:a14="http://schemas.microsoft.com/office/drawing/2010/main"/>
                      </a:ext>
                    </a:extLst>
                  </pic:spPr>
                </pic:pic>
              </a:graphicData>
            </a:graphic>
          </wp:inline>
        </w:drawing>
      </w:r>
      <w:r>
        <w:rPr>
          <w:noProof/>
          <w:lang w:val="en-US"/>
        </w:rPr>
        <w:drawing>
          <wp:inline distT="0" distB="0" distL="0" distR="0" wp14:anchorId="1A7063FF" wp14:editId="3636D8E4">
            <wp:extent cx="3539589" cy="3174365"/>
            <wp:effectExtent l="0" t="0" r="3810"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pec_all_lte.png"/>
                    <pic:cNvPicPr/>
                  </pic:nvPicPr>
                  <pic:blipFill rotWithShape="1">
                    <a:blip r:embed="rId21" cstate="print">
                      <a:extLst>
                        <a:ext uri="{28A0092B-C50C-407E-A947-70E740481C1C}">
                          <a14:useLocalDpi xmlns:a14="http://schemas.microsoft.com/office/drawing/2010/main" val="0"/>
                        </a:ext>
                      </a:extLst>
                    </a:blip>
                    <a:srcRect l="8769" r="7602"/>
                    <a:stretch/>
                  </pic:blipFill>
                  <pic:spPr bwMode="auto">
                    <a:xfrm>
                      <a:off x="0" y="0"/>
                      <a:ext cx="3540520" cy="3175200"/>
                    </a:xfrm>
                    <a:prstGeom prst="rect">
                      <a:avLst/>
                    </a:prstGeom>
                    <a:ln>
                      <a:noFill/>
                    </a:ln>
                    <a:extLst>
                      <a:ext uri="{53640926-AAD7-44D8-BBD7-CCE9431645EC}">
                        <a14:shadowObscured xmlns:a14="http://schemas.microsoft.com/office/drawing/2010/main"/>
                      </a:ext>
                    </a:extLst>
                  </pic:spPr>
                </pic:pic>
              </a:graphicData>
            </a:graphic>
          </wp:inline>
        </w:drawing>
      </w:r>
    </w:p>
    <w:p w14:paraId="2F6840D5" w14:textId="767B17A1" w:rsidR="00582ACE" w:rsidRPr="00282A24" w:rsidRDefault="00582ACE" w:rsidP="00582ACE">
      <w:pPr>
        <w:pStyle w:val="Caption"/>
        <w:jc w:val="center"/>
        <w:rPr>
          <w:lang w:val="en-US"/>
        </w:rPr>
      </w:pPr>
      <w:r>
        <w:t xml:space="preserve">Figure </w:t>
      </w:r>
      <w:r>
        <w:fldChar w:fldCharType="begin"/>
      </w:r>
      <w:r>
        <w:instrText xml:space="preserve"> SEQ Figure \* ARABIC </w:instrText>
      </w:r>
      <w:r>
        <w:fldChar w:fldCharType="separate"/>
      </w:r>
      <w:r w:rsidR="006A1857">
        <w:rPr>
          <w:noProof/>
        </w:rPr>
        <w:t>4</w:t>
      </w:r>
      <w:r>
        <w:fldChar w:fldCharType="end"/>
      </w:r>
      <w:r>
        <w:t>. Tx spectrum w.r.t. ETSI SEM (left) and LTE SEM (right)</w:t>
      </w:r>
      <w:r w:rsidR="00EA1FAB">
        <w:t>.</w:t>
      </w:r>
    </w:p>
    <w:p w14:paraId="49C54155" w14:textId="77777777" w:rsidR="00582ACE" w:rsidRDefault="00582ACE" w:rsidP="00204048">
      <w:pPr>
        <w:ind w:left="-851" w:right="-851"/>
        <w:rPr>
          <w:lang w:val="en-US"/>
        </w:rPr>
      </w:pPr>
    </w:p>
    <w:p w14:paraId="37AD25A1" w14:textId="4A4E83CB" w:rsidR="00957709" w:rsidRDefault="00377260" w:rsidP="00FA447A">
      <w:pPr>
        <w:rPr>
          <w:lang w:val="en-US"/>
        </w:rPr>
      </w:pPr>
      <w:r>
        <w:rPr>
          <w:lang w:val="en-US"/>
        </w:rPr>
        <w:t>The full set of s</w:t>
      </w:r>
      <w:r w:rsidR="005C4E25">
        <w:rPr>
          <w:lang w:val="en-US"/>
        </w:rPr>
        <w:t>imulation results are shown in</w:t>
      </w:r>
      <w:r w:rsidR="00582ACE">
        <w:rPr>
          <w:lang w:val="en-US"/>
        </w:rPr>
        <w:t xml:space="preserve"> Table </w:t>
      </w:r>
      <w:r w:rsidR="006A1857">
        <w:rPr>
          <w:lang w:val="en-US"/>
        </w:rPr>
        <w:t>2</w:t>
      </w:r>
      <w:r w:rsidR="00582ACE">
        <w:rPr>
          <w:lang w:val="en-US"/>
        </w:rPr>
        <w:t xml:space="preserve"> </w:t>
      </w:r>
      <w:r w:rsidR="00F44928">
        <w:rPr>
          <w:lang w:val="en-US"/>
        </w:rPr>
        <w:t>below.</w:t>
      </w:r>
      <w:r w:rsidR="001D52A1">
        <w:rPr>
          <w:lang w:val="en-US"/>
        </w:rPr>
        <w:t xml:space="preserve"> The achievable output power in dBm is listed for each simulated waveform.</w:t>
      </w:r>
      <w:r w:rsidR="00DB09E2">
        <w:rPr>
          <w:lang w:val="en-US"/>
        </w:rPr>
        <w:t xml:space="preserve"> Also</w:t>
      </w:r>
      <w:r w:rsidR="00582ACE">
        <w:rPr>
          <w:lang w:val="en-US"/>
        </w:rPr>
        <w:t>,</w:t>
      </w:r>
      <w:r w:rsidR="00DB09E2">
        <w:rPr>
          <w:lang w:val="en-US"/>
        </w:rPr>
        <w:t xml:space="preserve"> a second PA model was used, and the results were very similar and did not have significant difference.</w:t>
      </w:r>
    </w:p>
    <w:p w14:paraId="68267403" w14:textId="5C40EDD4" w:rsidR="005C4E25" w:rsidRPr="00957709" w:rsidRDefault="00957709" w:rsidP="00FA447A">
      <w:pPr>
        <w:rPr>
          <w:b/>
          <w:lang w:val="en-US"/>
        </w:rPr>
      </w:pPr>
      <w:r w:rsidRPr="00957709">
        <w:rPr>
          <w:b/>
        </w:rPr>
        <w:t xml:space="preserve">Table </w:t>
      </w:r>
      <w:r w:rsidRPr="00957709">
        <w:rPr>
          <w:b/>
        </w:rPr>
        <w:fldChar w:fldCharType="begin"/>
      </w:r>
      <w:r w:rsidRPr="00957709">
        <w:rPr>
          <w:b/>
        </w:rPr>
        <w:instrText xml:space="preserve"> SEQ Table \* ARABIC </w:instrText>
      </w:r>
      <w:r w:rsidRPr="00957709">
        <w:rPr>
          <w:b/>
        </w:rPr>
        <w:fldChar w:fldCharType="separate"/>
      </w:r>
      <w:r w:rsidR="006A1857">
        <w:rPr>
          <w:b/>
          <w:noProof/>
        </w:rPr>
        <w:t>2</w:t>
      </w:r>
      <w:r w:rsidRPr="00957709">
        <w:rPr>
          <w:b/>
        </w:rPr>
        <w:fldChar w:fldCharType="end"/>
      </w:r>
      <w:r w:rsidRPr="00957709">
        <w:rPr>
          <w:b/>
        </w:rPr>
        <w:t>.</w:t>
      </w:r>
      <w:r>
        <w:rPr>
          <w:b/>
        </w:rPr>
        <w:t xml:space="preserve"> Simulation results</w:t>
      </w:r>
    </w:p>
    <w:p w14:paraId="23608FBD" w14:textId="258691F4" w:rsidR="005C4E25" w:rsidRDefault="005C4E25" w:rsidP="005C4E25">
      <w:pPr>
        <w:jc w:val="center"/>
        <w:rPr>
          <w:lang w:val="en-US"/>
        </w:rPr>
      </w:pPr>
      <w:r>
        <w:rPr>
          <w:rFonts w:ascii="Calibri" w:hAnsi="Calibri" w:cs="Calibri"/>
          <w:noProof/>
          <w:sz w:val="22"/>
          <w:szCs w:val="22"/>
        </w:rPr>
        <w:drawing>
          <wp:inline distT="0" distB="0" distL="0" distR="0" wp14:anchorId="45BDB32F" wp14:editId="55CFF212">
            <wp:extent cx="5076825" cy="1688465"/>
            <wp:effectExtent l="0" t="0" r="9525" b="6985"/>
            <wp:docPr id="7" name="Picture 7" descr="cid:image001.png@01D3E78D.65414E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1.png@01D3E78D.65414E20"/>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5076825" cy="1688465"/>
                    </a:xfrm>
                    <a:prstGeom prst="rect">
                      <a:avLst/>
                    </a:prstGeom>
                    <a:noFill/>
                    <a:ln>
                      <a:noFill/>
                    </a:ln>
                  </pic:spPr>
                </pic:pic>
              </a:graphicData>
            </a:graphic>
          </wp:inline>
        </w:drawing>
      </w:r>
    </w:p>
    <w:p w14:paraId="62F113A4" w14:textId="48A913EA" w:rsidR="00F44928" w:rsidRDefault="005C4E25" w:rsidP="00F44928">
      <w:pPr>
        <w:spacing w:after="0"/>
        <w:rPr>
          <w:lang w:val="en-US"/>
        </w:rPr>
      </w:pPr>
      <w:r>
        <w:rPr>
          <w:lang w:val="en-US"/>
        </w:rPr>
        <w:t>It can be noted that proposed interlace structure</w:t>
      </w:r>
      <w:r w:rsidR="00957709">
        <w:rPr>
          <w:lang w:val="en-US"/>
        </w:rPr>
        <w:t>s</w:t>
      </w:r>
      <w:r>
        <w:rPr>
          <w:lang w:val="en-US"/>
        </w:rPr>
        <w:t xml:space="preserve"> can provid</w:t>
      </w:r>
      <w:r w:rsidR="00F44928">
        <w:rPr>
          <w:lang w:val="en-US"/>
        </w:rPr>
        <w:t xml:space="preserve">e reasonably high Tx power especially when all interlaces are used. </w:t>
      </w:r>
      <w:r w:rsidR="00957709">
        <w:rPr>
          <w:lang w:val="en-US"/>
        </w:rPr>
        <w:t>In this case, maximum Tx power is limited by ACLR</w:t>
      </w:r>
      <w:r w:rsidR="00D01979">
        <w:rPr>
          <w:lang w:val="en-US"/>
        </w:rPr>
        <w:t xml:space="preserve"> (30 dB)</w:t>
      </w:r>
      <w:r w:rsidR="00957709">
        <w:rPr>
          <w:lang w:val="en-US"/>
        </w:rPr>
        <w:t>.</w:t>
      </w:r>
    </w:p>
    <w:p w14:paraId="021A6BF1" w14:textId="143BE466" w:rsidR="00F44928" w:rsidRDefault="00F44928" w:rsidP="007618A3">
      <w:pPr>
        <w:pStyle w:val="ListParagraph"/>
        <w:numPr>
          <w:ilvl w:val="0"/>
          <w:numId w:val="6"/>
        </w:numPr>
        <w:rPr>
          <w:sz w:val="20"/>
          <w:lang w:val="en-US"/>
        </w:rPr>
      </w:pPr>
      <w:r w:rsidRPr="00F44928">
        <w:rPr>
          <w:sz w:val="20"/>
          <w:lang w:val="en-US"/>
        </w:rPr>
        <w:t>The maximum Tx power depend on the waveform use</w:t>
      </w:r>
      <w:r>
        <w:rPr>
          <w:sz w:val="20"/>
          <w:lang w:val="en-US"/>
        </w:rPr>
        <w:t xml:space="preserve">d: DFT-S-OFDM provides </w:t>
      </w:r>
      <w:r w:rsidR="001D52A1">
        <w:rPr>
          <w:sz w:val="20"/>
          <w:lang w:val="en-US"/>
        </w:rPr>
        <w:t xml:space="preserve">approximately </w:t>
      </w:r>
      <w:r>
        <w:rPr>
          <w:sz w:val="20"/>
          <w:lang w:val="en-US"/>
        </w:rPr>
        <w:t xml:space="preserve">2.2 dB higher Tx power compared to that of CP-OFDM </w:t>
      </w:r>
      <w:r w:rsidR="001D52A1">
        <w:rPr>
          <w:sz w:val="20"/>
          <w:lang w:val="en-US"/>
        </w:rPr>
        <w:t>when all interlaces are used.</w:t>
      </w:r>
      <w:r w:rsidR="0057504F">
        <w:rPr>
          <w:sz w:val="20"/>
          <w:lang w:val="en-US"/>
        </w:rPr>
        <w:t xml:space="preserve"> On the other hand, it is quite unlikely to have QPSK as the modulation scheme for uplink transmission in this scenario.</w:t>
      </w:r>
    </w:p>
    <w:p w14:paraId="11C572D0" w14:textId="0D017745" w:rsidR="00957709" w:rsidRDefault="00F44928" w:rsidP="007618A3">
      <w:pPr>
        <w:pStyle w:val="ListParagraph"/>
        <w:numPr>
          <w:ilvl w:val="0"/>
          <w:numId w:val="6"/>
        </w:numPr>
        <w:rPr>
          <w:sz w:val="20"/>
          <w:lang w:val="en-US"/>
        </w:rPr>
      </w:pPr>
      <w:r>
        <w:rPr>
          <w:sz w:val="20"/>
          <w:lang w:val="en-US"/>
        </w:rPr>
        <w:t xml:space="preserve">The maximum Tx power does not depend </w:t>
      </w:r>
      <w:r w:rsidR="00957709">
        <w:rPr>
          <w:sz w:val="20"/>
          <w:lang w:val="en-US"/>
        </w:rPr>
        <w:t>on the subcarrier spacing.</w:t>
      </w:r>
    </w:p>
    <w:p w14:paraId="2AEA627A" w14:textId="77777777" w:rsidR="001B55D8" w:rsidRDefault="001B55D8" w:rsidP="00B313D3">
      <w:pPr>
        <w:spacing w:after="0"/>
        <w:rPr>
          <w:lang w:val="en-US"/>
        </w:rPr>
      </w:pPr>
    </w:p>
    <w:p w14:paraId="6CC36D4C" w14:textId="3E0D9A6F" w:rsidR="00F44928" w:rsidRPr="00F44928" w:rsidRDefault="00F44928" w:rsidP="00F44928">
      <w:pPr>
        <w:rPr>
          <w:lang w:val="en-US"/>
        </w:rPr>
      </w:pPr>
      <w:r>
        <w:rPr>
          <w:lang w:val="en-US"/>
        </w:rPr>
        <w:t>When onl</w:t>
      </w:r>
      <w:r w:rsidR="00957709">
        <w:rPr>
          <w:lang w:val="en-US"/>
        </w:rPr>
        <w:t>y one interlace allocated, then Tx power is limited by PSD (instead of ACRL). It can be noted that in this case the maximum achievable Tx power is the same for DFT-S-OFDM and CP-OFDM.</w:t>
      </w:r>
      <w:r w:rsidR="00EA1FAB">
        <w:rPr>
          <w:lang w:val="en-US"/>
        </w:rPr>
        <w:t xml:space="preserve"> Based on that, it makes sense to consider CP-OFDM as the primary uplink waveform for NR-U.</w:t>
      </w:r>
    </w:p>
    <w:p w14:paraId="15CCA1EC" w14:textId="416ADA2F" w:rsidR="002C2600" w:rsidRDefault="00957709" w:rsidP="0001614D">
      <w:pPr>
        <w:rPr>
          <w:i/>
          <w:iCs/>
          <w:lang w:val="en-US"/>
        </w:rPr>
      </w:pPr>
      <w:r>
        <w:rPr>
          <w:b/>
          <w:bCs/>
          <w:i/>
          <w:iCs/>
          <w:lang w:val="en-US"/>
        </w:rPr>
        <w:t>Observation</w:t>
      </w:r>
      <w:r w:rsidRPr="00FD57D9">
        <w:rPr>
          <w:b/>
          <w:bCs/>
          <w:i/>
          <w:iCs/>
          <w:lang w:val="en-US"/>
        </w:rPr>
        <w:t xml:space="preserve"> </w:t>
      </w:r>
      <w:r w:rsidR="006A1857">
        <w:rPr>
          <w:b/>
          <w:bCs/>
          <w:i/>
          <w:iCs/>
          <w:lang w:val="en-US"/>
        </w:rPr>
        <w:t>1</w:t>
      </w:r>
      <w:r w:rsidRPr="00FD57D9">
        <w:rPr>
          <w:b/>
          <w:bCs/>
          <w:i/>
          <w:iCs/>
          <w:lang w:val="en-US"/>
        </w:rPr>
        <w:t xml:space="preserve">: </w:t>
      </w:r>
      <w:r>
        <w:rPr>
          <w:i/>
          <w:iCs/>
          <w:lang w:val="en-US"/>
        </w:rPr>
        <w:t>Subcarrier spacing does not impact to the maximum achievable transmit power when the interlace structure</w:t>
      </w:r>
      <w:r w:rsidR="0057504F">
        <w:rPr>
          <w:i/>
          <w:iCs/>
          <w:lang w:val="en-US"/>
        </w:rPr>
        <w:t>s</w:t>
      </w:r>
      <w:r>
        <w:rPr>
          <w:i/>
          <w:iCs/>
          <w:lang w:val="en-US"/>
        </w:rPr>
        <w:t xml:space="preserve"> </w:t>
      </w:r>
      <w:r w:rsidR="0057504F">
        <w:rPr>
          <w:i/>
          <w:iCs/>
          <w:lang w:val="en-US"/>
        </w:rPr>
        <w:t>(i.e. the cluster size, as well as the number of clusters) remain unchanged.</w:t>
      </w:r>
    </w:p>
    <w:p w14:paraId="799EAF60" w14:textId="576371F8" w:rsidR="00957709" w:rsidRDefault="00957709" w:rsidP="00957709">
      <w:pPr>
        <w:rPr>
          <w:i/>
          <w:iCs/>
          <w:lang w:val="en-US"/>
        </w:rPr>
      </w:pPr>
      <w:r>
        <w:rPr>
          <w:b/>
          <w:bCs/>
          <w:i/>
          <w:iCs/>
          <w:lang w:val="en-US"/>
        </w:rPr>
        <w:t>Observation</w:t>
      </w:r>
      <w:r w:rsidRPr="00FD57D9">
        <w:rPr>
          <w:b/>
          <w:bCs/>
          <w:i/>
          <w:iCs/>
          <w:lang w:val="en-US"/>
        </w:rPr>
        <w:t xml:space="preserve"> </w:t>
      </w:r>
      <w:r w:rsidR="006A1857">
        <w:rPr>
          <w:b/>
          <w:bCs/>
          <w:i/>
          <w:iCs/>
          <w:lang w:val="en-US"/>
        </w:rPr>
        <w:t>2</w:t>
      </w:r>
      <w:r w:rsidRPr="00FD57D9">
        <w:rPr>
          <w:b/>
          <w:bCs/>
          <w:i/>
          <w:iCs/>
          <w:lang w:val="en-US"/>
        </w:rPr>
        <w:t xml:space="preserve">: </w:t>
      </w:r>
      <w:r>
        <w:rPr>
          <w:i/>
          <w:iCs/>
          <w:lang w:val="en-US"/>
        </w:rPr>
        <w:t xml:space="preserve">With one interlace, there is no difference in Tx power between DFT-S-OFDM and CP-OFDM </w:t>
      </w:r>
    </w:p>
    <w:p w14:paraId="0FDB03A0" w14:textId="66DB7EB6" w:rsidR="00582ACE" w:rsidRDefault="00582ACE" w:rsidP="00582ACE">
      <w:pPr>
        <w:rPr>
          <w:i/>
          <w:iCs/>
          <w:lang w:val="en-US"/>
        </w:rPr>
      </w:pPr>
      <w:r>
        <w:rPr>
          <w:b/>
          <w:bCs/>
          <w:i/>
          <w:iCs/>
          <w:lang w:val="en-US"/>
        </w:rPr>
        <w:t>Proposal</w:t>
      </w:r>
      <w:r w:rsidRPr="00FD57D9">
        <w:rPr>
          <w:b/>
          <w:bCs/>
          <w:i/>
          <w:iCs/>
          <w:lang w:val="en-US"/>
        </w:rPr>
        <w:t xml:space="preserve"> </w:t>
      </w:r>
      <w:r w:rsidR="006A1857">
        <w:rPr>
          <w:b/>
          <w:bCs/>
          <w:i/>
          <w:iCs/>
          <w:lang w:val="en-US"/>
        </w:rPr>
        <w:t>4</w:t>
      </w:r>
      <w:r w:rsidRPr="00FD57D9">
        <w:rPr>
          <w:b/>
          <w:bCs/>
          <w:i/>
          <w:iCs/>
          <w:lang w:val="en-US"/>
        </w:rPr>
        <w:t xml:space="preserve">: </w:t>
      </w:r>
      <w:r>
        <w:rPr>
          <w:i/>
          <w:iCs/>
          <w:lang w:val="en-US"/>
        </w:rPr>
        <w:t>Consider CP-OFDM as the primary uplink waveform for NR-U</w:t>
      </w:r>
      <w:r w:rsidR="00EA1FAB">
        <w:rPr>
          <w:i/>
          <w:iCs/>
          <w:lang w:val="en-US"/>
        </w:rPr>
        <w:t>.</w:t>
      </w:r>
      <w:r w:rsidR="00853111">
        <w:rPr>
          <w:i/>
          <w:iCs/>
          <w:lang w:val="en-US"/>
        </w:rPr>
        <w:t xml:space="preserve"> </w:t>
      </w:r>
      <w:r w:rsidR="00853111" w:rsidRPr="0023249C">
        <w:rPr>
          <w:i/>
          <w:iCs/>
        </w:rPr>
        <w:t xml:space="preserve">DFT-S-OFDM </w:t>
      </w:r>
      <w:r w:rsidR="00853111">
        <w:rPr>
          <w:i/>
          <w:iCs/>
        </w:rPr>
        <w:t xml:space="preserve">is </w:t>
      </w:r>
      <w:r w:rsidR="00853111" w:rsidRPr="0023249C">
        <w:rPr>
          <w:i/>
          <w:iCs/>
        </w:rPr>
        <w:t xml:space="preserve">supported as secondary </w:t>
      </w:r>
      <w:r w:rsidR="00853111">
        <w:rPr>
          <w:i/>
          <w:iCs/>
        </w:rPr>
        <w:t xml:space="preserve">waveform </w:t>
      </w:r>
      <w:r w:rsidR="00853111" w:rsidRPr="0023249C">
        <w:rPr>
          <w:i/>
          <w:iCs/>
        </w:rPr>
        <w:t>option.</w:t>
      </w:r>
    </w:p>
    <w:p w14:paraId="0D827FAF" w14:textId="293522C7" w:rsidR="0034111C" w:rsidRPr="00A51522" w:rsidRDefault="00AA1592">
      <w:pPr>
        <w:pStyle w:val="Heading1"/>
        <w:rPr>
          <w:color w:val="000000"/>
        </w:rPr>
      </w:pPr>
      <w:r>
        <w:rPr>
          <w:color w:val="000000"/>
        </w:rPr>
        <w:lastRenderedPageBreak/>
        <w:t>4</w:t>
      </w:r>
      <w:r w:rsidR="00F30C74">
        <w:rPr>
          <w:color w:val="000000"/>
        </w:rPr>
        <w:t xml:space="preserve">. </w:t>
      </w:r>
      <w:r w:rsidR="00EE7FA7" w:rsidRPr="00A51522">
        <w:rPr>
          <w:color w:val="000000"/>
        </w:rPr>
        <w:t>Conclusion</w:t>
      </w:r>
      <w:r w:rsidR="00DB39D4" w:rsidRPr="00A51522">
        <w:rPr>
          <w:color w:val="000000"/>
        </w:rPr>
        <w:t>s</w:t>
      </w:r>
    </w:p>
    <w:p w14:paraId="626917E1" w14:textId="0EEC7479" w:rsidR="00731B79" w:rsidRDefault="003D3FBA" w:rsidP="006060C2">
      <w:pPr>
        <w:spacing w:after="120"/>
        <w:jc w:val="both"/>
        <w:rPr>
          <w:bCs/>
        </w:rPr>
      </w:pPr>
      <w:r w:rsidRPr="00A51522">
        <w:t>In this contribution</w:t>
      </w:r>
      <w:r w:rsidR="009251C8">
        <w:t>,</w:t>
      </w:r>
      <w:r w:rsidRPr="00A51522">
        <w:t xml:space="preserve"> we have </w:t>
      </w:r>
      <w:r w:rsidR="001B55D8">
        <w:t>we evaluated the maximum achievable UE Tx power for different interlace structures</w:t>
      </w:r>
      <w:r w:rsidR="006060C2">
        <w:rPr>
          <w:bCs/>
        </w:rPr>
        <w:t>.</w:t>
      </w:r>
      <w:r w:rsidR="00342AD2">
        <w:rPr>
          <w:bCs/>
        </w:rPr>
        <w:t xml:space="preserve"> Based on the discussion, we make the following</w:t>
      </w:r>
      <w:r w:rsidR="00A643E0">
        <w:rPr>
          <w:bCs/>
        </w:rPr>
        <w:t xml:space="preserve"> observation</w:t>
      </w:r>
      <w:r w:rsidR="0020189F">
        <w:rPr>
          <w:bCs/>
        </w:rPr>
        <w:t>s</w:t>
      </w:r>
      <w:r w:rsidR="00A643E0">
        <w:rPr>
          <w:bCs/>
        </w:rPr>
        <w:t xml:space="preserve"> and</w:t>
      </w:r>
      <w:r w:rsidR="00342AD2">
        <w:rPr>
          <w:bCs/>
        </w:rPr>
        <w:t xml:space="preserve"> proposal</w:t>
      </w:r>
      <w:r w:rsidR="002B1D53">
        <w:rPr>
          <w:bCs/>
        </w:rPr>
        <w:t>s</w:t>
      </w:r>
      <w:r w:rsidR="00342AD2">
        <w:rPr>
          <w:bCs/>
        </w:rPr>
        <w:t>:</w:t>
      </w:r>
    </w:p>
    <w:p w14:paraId="14C2A9AB" w14:textId="64C71427" w:rsidR="00EA1FAB" w:rsidRDefault="00EA1FAB" w:rsidP="00946A9F">
      <w:pPr>
        <w:spacing w:after="0"/>
        <w:rPr>
          <w:i/>
          <w:iCs/>
          <w:lang w:val="en-US"/>
        </w:rPr>
      </w:pPr>
      <w:r>
        <w:rPr>
          <w:b/>
          <w:bCs/>
          <w:i/>
          <w:iCs/>
          <w:lang w:val="en-US"/>
        </w:rPr>
        <w:t>Observation</w:t>
      </w:r>
      <w:r w:rsidRPr="00FD57D9">
        <w:rPr>
          <w:b/>
          <w:bCs/>
          <w:i/>
          <w:iCs/>
          <w:lang w:val="en-US"/>
        </w:rPr>
        <w:t xml:space="preserve"> </w:t>
      </w:r>
      <w:r w:rsidR="006A1857">
        <w:rPr>
          <w:b/>
          <w:bCs/>
          <w:i/>
          <w:iCs/>
          <w:lang w:val="en-US"/>
        </w:rPr>
        <w:t>1</w:t>
      </w:r>
      <w:r w:rsidRPr="00FD57D9">
        <w:rPr>
          <w:b/>
          <w:bCs/>
          <w:i/>
          <w:iCs/>
          <w:lang w:val="en-US"/>
        </w:rPr>
        <w:t xml:space="preserve">: </w:t>
      </w:r>
      <w:r w:rsidR="0057504F">
        <w:rPr>
          <w:i/>
          <w:iCs/>
          <w:lang w:val="en-US"/>
        </w:rPr>
        <w:t>Subcarrier spacing does not impact to the maximum achievable transmit power when the interlace structures (i.e. the cluster size, as well as the number of clusters) remain unchanged.</w:t>
      </w:r>
    </w:p>
    <w:p w14:paraId="0AF3CF88" w14:textId="41197C8A" w:rsidR="00EA1FAB" w:rsidRDefault="00EA1FAB" w:rsidP="00EA1FAB">
      <w:pPr>
        <w:rPr>
          <w:i/>
          <w:iCs/>
          <w:lang w:val="en-US"/>
        </w:rPr>
      </w:pPr>
      <w:r>
        <w:rPr>
          <w:b/>
          <w:bCs/>
          <w:i/>
          <w:iCs/>
          <w:lang w:val="en-US"/>
        </w:rPr>
        <w:t>Observation</w:t>
      </w:r>
      <w:r w:rsidRPr="00FD57D9">
        <w:rPr>
          <w:b/>
          <w:bCs/>
          <w:i/>
          <w:iCs/>
          <w:lang w:val="en-US"/>
        </w:rPr>
        <w:t xml:space="preserve"> </w:t>
      </w:r>
      <w:r w:rsidR="006A1857">
        <w:rPr>
          <w:b/>
          <w:bCs/>
          <w:i/>
          <w:iCs/>
          <w:lang w:val="en-US"/>
        </w:rPr>
        <w:t>2</w:t>
      </w:r>
      <w:r w:rsidRPr="00FD57D9">
        <w:rPr>
          <w:b/>
          <w:bCs/>
          <w:i/>
          <w:iCs/>
          <w:lang w:val="en-US"/>
        </w:rPr>
        <w:t xml:space="preserve">: </w:t>
      </w:r>
      <w:r>
        <w:rPr>
          <w:i/>
          <w:iCs/>
          <w:lang w:val="en-US"/>
        </w:rPr>
        <w:t xml:space="preserve">With one interlace, there is no difference in Tx power between DFT-S-OFDM and CP-OFDM </w:t>
      </w:r>
    </w:p>
    <w:p w14:paraId="32FF4BEC" w14:textId="5F0D3C3F" w:rsidR="00946A9F" w:rsidRDefault="00946A9F" w:rsidP="00946A9F">
      <w:pPr>
        <w:spacing w:after="0"/>
        <w:jc w:val="both"/>
        <w:rPr>
          <w:i/>
          <w:iCs/>
          <w:lang w:val="en-US"/>
        </w:rPr>
      </w:pPr>
      <w:r w:rsidRPr="57A2373E">
        <w:rPr>
          <w:b/>
          <w:bCs/>
          <w:i/>
          <w:iCs/>
          <w:lang w:val="en-US"/>
        </w:rPr>
        <w:t xml:space="preserve">Proposal </w:t>
      </w:r>
      <w:r>
        <w:rPr>
          <w:b/>
          <w:bCs/>
          <w:i/>
          <w:iCs/>
          <w:lang w:val="en-US"/>
        </w:rPr>
        <w:t>1</w:t>
      </w:r>
      <w:r w:rsidRPr="57A2373E">
        <w:rPr>
          <w:b/>
          <w:bCs/>
          <w:i/>
          <w:iCs/>
          <w:lang w:val="en-US"/>
        </w:rPr>
        <w:t xml:space="preserve">: </w:t>
      </w:r>
      <w:r w:rsidRPr="57A2373E">
        <w:rPr>
          <w:i/>
          <w:iCs/>
          <w:lang w:val="en-US"/>
        </w:rPr>
        <w:t>NR interlace structure is designed for 20 MHz sub-band</w:t>
      </w:r>
      <w:r w:rsidR="00F83CD4">
        <w:rPr>
          <w:i/>
          <w:iCs/>
          <w:lang w:val="en-US"/>
        </w:rPr>
        <w:t xml:space="preserve"> (</w:t>
      </w:r>
      <w:r w:rsidR="00F83CD4" w:rsidRPr="004A114F">
        <w:rPr>
          <w:b/>
          <w:i/>
          <w:iCs/>
          <w:lang w:val="en-US"/>
        </w:rPr>
        <w:t>Alt-2</w:t>
      </w:r>
      <w:r w:rsidR="00F83CD4" w:rsidRPr="003C5264">
        <w:rPr>
          <w:i/>
          <w:iCs/>
          <w:lang w:val="en-US"/>
        </w:rPr>
        <w:t>)</w:t>
      </w:r>
      <w:r w:rsidRPr="57A2373E">
        <w:rPr>
          <w:i/>
          <w:iCs/>
          <w:lang w:val="en-US"/>
        </w:rPr>
        <w:t>.</w:t>
      </w:r>
    </w:p>
    <w:p w14:paraId="2D799D19" w14:textId="77777777" w:rsidR="003F3129" w:rsidRDefault="003F3129" w:rsidP="003F3129">
      <w:pPr>
        <w:spacing w:after="0"/>
        <w:jc w:val="both"/>
        <w:rPr>
          <w:i/>
          <w:iCs/>
          <w:lang w:val="en-US"/>
        </w:rPr>
      </w:pPr>
      <w:r w:rsidRPr="57A2373E">
        <w:rPr>
          <w:b/>
          <w:bCs/>
          <w:i/>
          <w:iCs/>
          <w:lang w:val="en-US"/>
        </w:rPr>
        <w:t xml:space="preserve">Proposal </w:t>
      </w:r>
      <w:r>
        <w:rPr>
          <w:b/>
          <w:bCs/>
          <w:i/>
          <w:iCs/>
          <w:lang w:val="en-US"/>
        </w:rPr>
        <w:t>2</w:t>
      </w:r>
      <w:r w:rsidRPr="57A2373E">
        <w:rPr>
          <w:b/>
          <w:bCs/>
          <w:i/>
          <w:iCs/>
          <w:lang w:val="en-US"/>
        </w:rPr>
        <w:t xml:space="preserve">: </w:t>
      </w:r>
      <w:r w:rsidRPr="00A77B83">
        <w:rPr>
          <w:i/>
          <w:iCs/>
          <w:lang w:val="en-US"/>
        </w:rPr>
        <w:t>NR interlace structure is limited to 20 MHz maximum bandwidth. Almost-contiguous allocation is used to multiplex wider BW allocation with interlaced allocation.</w:t>
      </w:r>
    </w:p>
    <w:p w14:paraId="38AD5102" w14:textId="06E116F8" w:rsidR="00946A9F" w:rsidRPr="00FD57D9" w:rsidRDefault="00946A9F" w:rsidP="00946A9F">
      <w:pPr>
        <w:spacing w:after="0"/>
        <w:jc w:val="both"/>
        <w:rPr>
          <w:i/>
          <w:iCs/>
          <w:lang w:val="en-US"/>
        </w:rPr>
      </w:pPr>
      <w:r w:rsidRPr="00FD57D9">
        <w:rPr>
          <w:b/>
          <w:bCs/>
          <w:i/>
          <w:iCs/>
          <w:lang w:val="en-US"/>
        </w:rPr>
        <w:t xml:space="preserve">Proposal </w:t>
      </w:r>
      <w:r w:rsidR="003F3129">
        <w:rPr>
          <w:b/>
          <w:bCs/>
          <w:i/>
          <w:iCs/>
          <w:lang w:val="en-US"/>
        </w:rPr>
        <w:t>3</w:t>
      </w:r>
      <w:r w:rsidRPr="00FD57D9">
        <w:rPr>
          <w:b/>
          <w:bCs/>
          <w:i/>
          <w:iCs/>
          <w:lang w:val="en-US"/>
        </w:rPr>
        <w:t xml:space="preserve">: </w:t>
      </w:r>
      <w:r>
        <w:rPr>
          <w:i/>
          <w:iCs/>
          <w:lang w:val="en-US"/>
        </w:rPr>
        <w:t>For 60 kHz subcarrier spacing, s</w:t>
      </w:r>
      <w:r w:rsidRPr="00FD57D9">
        <w:rPr>
          <w:i/>
          <w:iCs/>
          <w:lang w:val="en-US"/>
        </w:rPr>
        <w:t>upport interlace structure where cluster size is a fraction of PRB.</w:t>
      </w:r>
    </w:p>
    <w:p w14:paraId="466D46AF" w14:textId="40EB14F3" w:rsidR="00EA1FAB" w:rsidRDefault="00EA1FAB" w:rsidP="00946A9F">
      <w:pPr>
        <w:spacing w:after="0"/>
        <w:rPr>
          <w:i/>
          <w:iCs/>
          <w:lang w:val="en-US"/>
        </w:rPr>
      </w:pPr>
      <w:r>
        <w:rPr>
          <w:b/>
          <w:bCs/>
          <w:i/>
          <w:iCs/>
          <w:lang w:val="en-US"/>
        </w:rPr>
        <w:t>Proposal</w:t>
      </w:r>
      <w:r w:rsidR="00637065">
        <w:rPr>
          <w:b/>
          <w:bCs/>
          <w:i/>
          <w:iCs/>
          <w:lang w:val="en-US"/>
        </w:rPr>
        <w:t xml:space="preserve"> </w:t>
      </w:r>
      <w:r w:rsidR="006A1857">
        <w:rPr>
          <w:b/>
          <w:bCs/>
          <w:i/>
          <w:iCs/>
          <w:lang w:val="en-US"/>
        </w:rPr>
        <w:t>4</w:t>
      </w:r>
      <w:r w:rsidRPr="00FD57D9">
        <w:rPr>
          <w:b/>
          <w:bCs/>
          <w:i/>
          <w:iCs/>
          <w:lang w:val="en-US"/>
        </w:rPr>
        <w:t xml:space="preserve">: </w:t>
      </w:r>
      <w:r>
        <w:rPr>
          <w:i/>
          <w:iCs/>
          <w:lang w:val="en-US"/>
        </w:rPr>
        <w:t>Consider CP-OFDM as the primary uplink waveform for NR-U.</w:t>
      </w:r>
      <w:r w:rsidR="00853111">
        <w:rPr>
          <w:i/>
          <w:iCs/>
          <w:lang w:val="en-US"/>
        </w:rPr>
        <w:t xml:space="preserve"> </w:t>
      </w:r>
      <w:r w:rsidR="00853111" w:rsidRPr="0023249C">
        <w:rPr>
          <w:i/>
          <w:iCs/>
        </w:rPr>
        <w:t xml:space="preserve">DFT-S-OFDM </w:t>
      </w:r>
      <w:r w:rsidR="00853111">
        <w:rPr>
          <w:i/>
          <w:iCs/>
        </w:rPr>
        <w:t xml:space="preserve">is </w:t>
      </w:r>
      <w:r w:rsidR="00853111" w:rsidRPr="0023249C">
        <w:rPr>
          <w:i/>
          <w:iCs/>
        </w:rPr>
        <w:t xml:space="preserve">supported as secondary </w:t>
      </w:r>
      <w:r w:rsidR="00853111">
        <w:rPr>
          <w:i/>
          <w:iCs/>
        </w:rPr>
        <w:t xml:space="preserve">waveform </w:t>
      </w:r>
      <w:r w:rsidR="00853111" w:rsidRPr="0023249C">
        <w:rPr>
          <w:i/>
          <w:iCs/>
        </w:rPr>
        <w:t>option.</w:t>
      </w:r>
    </w:p>
    <w:p w14:paraId="2F0729C1" w14:textId="77777777" w:rsidR="0034111C" w:rsidRPr="00A51522" w:rsidRDefault="0034111C">
      <w:pPr>
        <w:pStyle w:val="Heading1"/>
      </w:pPr>
      <w:r w:rsidRPr="00A51522">
        <w:t>References</w:t>
      </w:r>
      <w:r w:rsidR="00A2459D" w:rsidRPr="00A51522">
        <w:t xml:space="preserve"> </w:t>
      </w:r>
    </w:p>
    <w:p w14:paraId="40D99FF0" w14:textId="3B4AD03A" w:rsidR="00055676" w:rsidRDefault="1CEFF1BD" w:rsidP="1CEFF1BD">
      <w:pPr>
        <w:numPr>
          <w:ilvl w:val="0"/>
          <w:numId w:val="1"/>
        </w:numPr>
        <w:rPr>
          <w:sz w:val="18"/>
          <w:szCs w:val="18"/>
        </w:rPr>
      </w:pPr>
      <w:r w:rsidRPr="1CEFF1BD">
        <w:rPr>
          <w:sz w:val="18"/>
          <w:szCs w:val="18"/>
          <w:lang w:eastAsia="zh-CN"/>
        </w:rPr>
        <w:t>RP-172021, “</w:t>
      </w:r>
      <w:r w:rsidRPr="1CEFF1BD">
        <w:rPr>
          <w:i/>
          <w:iCs/>
          <w:sz w:val="18"/>
          <w:szCs w:val="18"/>
          <w:lang w:eastAsia="zh-CN"/>
        </w:rPr>
        <w:t>New SID on NR-based Access to Unlicensed Spectrum</w:t>
      </w:r>
      <w:r w:rsidRPr="1CEFF1BD">
        <w:rPr>
          <w:sz w:val="18"/>
          <w:szCs w:val="18"/>
          <w:lang w:eastAsia="zh-CN"/>
        </w:rPr>
        <w:t>”, Qualcomm</w:t>
      </w:r>
    </w:p>
    <w:p w14:paraId="1DA3F021" w14:textId="21B82A22" w:rsidR="00B42D9C" w:rsidRDefault="00B42D9C" w:rsidP="00B42D9C">
      <w:pPr>
        <w:numPr>
          <w:ilvl w:val="0"/>
          <w:numId w:val="1"/>
        </w:numPr>
        <w:rPr>
          <w:sz w:val="18"/>
        </w:rPr>
      </w:pPr>
      <w:r>
        <w:rPr>
          <w:sz w:val="18"/>
          <w:lang w:eastAsia="zh-CN"/>
        </w:rPr>
        <w:t xml:space="preserve">3GPP, </w:t>
      </w:r>
      <w:r w:rsidR="006607D0">
        <w:rPr>
          <w:sz w:val="18"/>
          <w:lang w:eastAsia="zh-CN"/>
        </w:rPr>
        <w:t>“RAN1 Chairman’s Notes”, RAN1#94</w:t>
      </w:r>
    </w:p>
    <w:p w14:paraId="2BA8555F" w14:textId="553F14DF" w:rsidR="006607D0" w:rsidRDefault="006607D0" w:rsidP="006607D0">
      <w:pPr>
        <w:numPr>
          <w:ilvl w:val="0"/>
          <w:numId w:val="1"/>
        </w:numPr>
        <w:rPr>
          <w:sz w:val="18"/>
        </w:rPr>
      </w:pPr>
      <w:r>
        <w:rPr>
          <w:sz w:val="18"/>
          <w:lang w:eastAsia="zh-CN"/>
        </w:rPr>
        <w:t>3GPP, “RAN1 Chairman’s Notes”, RAN1#94bis</w:t>
      </w:r>
    </w:p>
    <w:p w14:paraId="6D3B0274" w14:textId="614D534C" w:rsidR="00EA1FAB" w:rsidRPr="00F83CD4" w:rsidRDefault="00F83CD4" w:rsidP="00F83CD4">
      <w:pPr>
        <w:numPr>
          <w:ilvl w:val="0"/>
          <w:numId w:val="1"/>
        </w:numPr>
        <w:spacing w:after="0"/>
        <w:rPr>
          <w:sz w:val="18"/>
          <w:szCs w:val="18"/>
          <w:lang w:eastAsia="zh-CN"/>
        </w:rPr>
      </w:pPr>
      <w:r w:rsidRPr="003C5264">
        <w:rPr>
          <w:color w:val="000000" w:themeColor="text1"/>
          <w:sz w:val="18"/>
          <w:szCs w:val="18"/>
        </w:rPr>
        <w:t>R1-1812660</w:t>
      </w:r>
      <w:r w:rsidR="1FB8FE56" w:rsidRPr="00F83CD4">
        <w:rPr>
          <w:sz w:val="18"/>
          <w:szCs w:val="18"/>
          <w:lang w:eastAsia="zh-CN"/>
        </w:rPr>
        <w:t>, “</w:t>
      </w:r>
      <w:r w:rsidR="1FB8FE56" w:rsidRPr="00F83CD4">
        <w:rPr>
          <w:i/>
          <w:iCs/>
          <w:sz w:val="18"/>
          <w:szCs w:val="18"/>
          <w:lang w:eastAsia="zh-CN"/>
        </w:rPr>
        <w:t xml:space="preserve">On uplink signal and channel structures for NR-U”, </w:t>
      </w:r>
      <w:r w:rsidR="1FB8FE56" w:rsidRPr="00F83CD4">
        <w:rPr>
          <w:sz w:val="18"/>
          <w:szCs w:val="18"/>
          <w:lang w:eastAsia="zh-CN"/>
        </w:rPr>
        <w:t>Nokia, Nokia Shanghai Bell</w:t>
      </w:r>
    </w:p>
    <w:p w14:paraId="12E30482" w14:textId="70E1B20A" w:rsidR="000D47F3" w:rsidRPr="002B1D53" w:rsidRDefault="000D47F3" w:rsidP="002B1D53">
      <w:pPr>
        <w:spacing w:after="0"/>
        <w:ind w:left="357"/>
        <w:rPr>
          <w:sz w:val="18"/>
        </w:rPr>
      </w:pPr>
    </w:p>
    <w:sectPr w:rsidR="000D47F3" w:rsidRPr="002B1D53" w:rsidSect="00C00AD8">
      <w:headerReference w:type="default" r:id="rId24"/>
      <w:footerReference w:type="default" r:id="rId25"/>
      <w:footnotePr>
        <w:numRestart w:val="eachSect"/>
      </w:footnotePr>
      <w:pgSz w:w="11907" w:h="16840" w:code="9"/>
      <w:pgMar w:top="1418" w:right="992"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AE6EBF" w14:textId="77777777" w:rsidR="004A574B" w:rsidRDefault="004A574B">
      <w:r>
        <w:separator/>
      </w:r>
    </w:p>
  </w:endnote>
  <w:endnote w:type="continuationSeparator" w:id="0">
    <w:p w14:paraId="460181D3" w14:textId="77777777" w:rsidR="004A574B" w:rsidRDefault="004A574B">
      <w:r>
        <w:continuationSeparator/>
      </w:r>
    </w:p>
  </w:endnote>
  <w:endnote w:type="continuationNotice" w:id="1">
    <w:p w14:paraId="6911F6F5" w14:textId="77777777" w:rsidR="004A574B" w:rsidRDefault="004A57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altName w:val=" Genev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0FC21" w14:textId="77777777" w:rsidR="004A574B" w:rsidRDefault="004A57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32A780" w14:textId="77777777" w:rsidR="004A574B" w:rsidRDefault="004A574B">
      <w:r>
        <w:separator/>
      </w:r>
    </w:p>
  </w:footnote>
  <w:footnote w:type="continuationSeparator" w:id="0">
    <w:p w14:paraId="60501317" w14:textId="77777777" w:rsidR="004A574B" w:rsidRDefault="004A574B">
      <w:r>
        <w:continuationSeparator/>
      </w:r>
    </w:p>
  </w:footnote>
  <w:footnote w:type="continuationNotice" w:id="1">
    <w:p w14:paraId="4805161E" w14:textId="77777777" w:rsidR="004A574B" w:rsidRDefault="004A57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41F38" w14:textId="77777777" w:rsidR="004A574B" w:rsidRDefault="004A57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64CD0"/>
    <w:multiLevelType w:val="hybridMultilevel"/>
    <w:tmpl w:val="296EE82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E132023"/>
    <w:multiLevelType w:val="hybridMultilevel"/>
    <w:tmpl w:val="CBCE4A4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10A4CDA"/>
    <w:multiLevelType w:val="hybridMultilevel"/>
    <w:tmpl w:val="22743F8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1AF1A62"/>
    <w:multiLevelType w:val="hybridMultilevel"/>
    <w:tmpl w:val="D3ECAB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C4A0C1D"/>
    <w:multiLevelType w:val="hybridMultilevel"/>
    <w:tmpl w:val="75D6288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1F9E20C4"/>
    <w:multiLevelType w:val="hybridMultilevel"/>
    <w:tmpl w:val="5B124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761547"/>
    <w:multiLevelType w:val="hybridMultilevel"/>
    <w:tmpl w:val="8A66D556"/>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31435C"/>
    <w:multiLevelType w:val="hybridMultilevel"/>
    <w:tmpl w:val="35207BBE"/>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9D0022"/>
    <w:multiLevelType w:val="hybridMultilevel"/>
    <w:tmpl w:val="78B6517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2909E2"/>
    <w:multiLevelType w:val="hybridMultilevel"/>
    <w:tmpl w:val="C53069E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38C926D3"/>
    <w:multiLevelType w:val="hybridMultilevel"/>
    <w:tmpl w:val="49D6F02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7683675"/>
    <w:multiLevelType w:val="hybridMultilevel"/>
    <w:tmpl w:val="A69EA0D6"/>
    <w:lvl w:ilvl="0" w:tplc="040B0001">
      <w:start w:val="1"/>
      <w:numFmt w:val="bullet"/>
      <w:lvlText w:val=""/>
      <w:lvlJc w:val="left"/>
      <w:pPr>
        <w:ind w:left="820" w:hanging="360"/>
      </w:pPr>
      <w:rPr>
        <w:rFonts w:ascii="Symbol" w:hAnsi="Symbol" w:hint="default"/>
      </w:rPr>
    </w:lvl>
    <w:lvl w:ilvl="1" w:tplc="040B0003">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6" w15:restartNumberingAfterBreak="0">
    <w:nsid w:val="4A6E3399"/>
    <w:multiLevelType w:val="hybridMultilevel"/>
    <w:tmpl w:val="8A6A8E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558A5E59"/>
    <w:multiLevelType w:val="hybridMultilevel"/>
    <w:tmpl w:val="9D6A8F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59FA168F"/>
    <w:multiLevelType w:val="hybridMultilevel"/>
    <w:tmpl w:val="35207BBE"/>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9" w15:restartNumberingAfterBreak="0">
    <w:nsid w:val="70246A63"/>
    <w:multiLevelType w:val="hybridMultilevel"/>
    <w:tmpl w:val="376A3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3169AB"/>
    <w:multiLevelType w:val="hybridMultilevel"/>
    <w:tmpl w:val="36A009F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2"/>
  </w:num>
  <w:num w:numId="2">
    <w:abstractNumId w:val="19"/>
  </w:num>
  <w:num w:numId="3">
    <w:abstractNumId w:val="15"/>
  </w:num>
  <w:num w:numId="4">
    <w:abstractNumId w:val="20"/>
  </w:num>
  <w:num w:numId="5">
    <w:abstractNumId w:val="11"/>
  </w:num>
  <w:num w:numId="6">
    <w:abstractNumId w:val="17"/>
  </w:num>
  <w:num w:numId="7">
    <w:abstractNumId w:val="8"/>
  </w:num>
  <w:num w:numId="8">
    <w:abstractNumId w:val="0"/>
  </w:num>
  <w:num w:numId="9">
    <w:abstractNumId w:val="2"/>
  </w:num>
  <w:num w:numId="10">
    <w:abstractNumId w:val="14"/>
  </w:num>
  <w:num w:numId="11">
    <w:abstractNumId w:val="10"/>
  </w:num>
  <w:num w:numId="12">
    <w:abstractNumId w:val="6"/>
  </w:num>
  <w:num w:numId="13">
    <w:abstractNumId w:val="9"/>
  </w:num>
  <w:num w:numId="14">
    <w:abstractNumId w:val="18"/>
  </w:num>
  <w:num w:numId="15">
    <w:abstractNumId w:val="5"/>
  </w:num>
  <w:num w:numId="16">
    <w:abstractNumId w:val="4"/>
  </w:num>
  <w:num w:numId="17">
    <w:abstractNumId w:val="1"/>
  </w:num>
  <w:num w:numId="18">
    <w:abstractNumId w:val="13"/>
  </w:num>
  <w:num w:numId="19">
    <w:abstractNumId w:val="16"/>
  </w:num>
  <w:num w:numId="20">
    <w:abstractNumId w:val="3"/>
  </w:num>
  <w:num w:numId="21">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9"/>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3C3"/>
    <w:rsid w:val="0000159F"/>
    <w:rsid w:val="00004AC8"/>
    <w:rsid w:val="00005083"/>
    <w:rsid w:val="00006055"/>
    <w:rsid w:val="00006AD4"/>
    <w:rsid w:val="000074C4"/>
    <w:rsid w:val="000079A6"/>
    <w:rsid w:val="00011BB2"/>
    <w:rsid w:val="00012505"/>
    <w:rsid w:val="0001262C"/>
    <w:rsid w:val="00012C4F"/>
    <w:rsid w:val="000131D1"/>
    <w:rsid w:val="00013455"/>
    <w:rsid w:val="000134E3"/>
    <w:rsid w:val="00013632"/>
    <w:rsid w:val="000137FC"/>
    <w:rsid w:val="00013F5E"/>
    <w:rsid w:val="0001403F"/>
    <w:rsid w:val="00014091"/>
    <w:rsid w:val="0001411B"/>
    <w:rsid w:val="000146BD"/>
    <w:rsid w:val="0001487F"/>
    <w:rsid w:val="00014F35"/>
    <w:rsid w:val="00015F98"/>
    <w:rsid w:val="0001614D"/>
    <w:rsid w:val="000166AC"/>
    <w:rsid w:val="00017B7F"/>
    <w:rsid w:val="00017EDA"/>
    <w:rsid w:val="0002046D"/>
    <w:rsid w:val="00022938"/>
    <w:rsid w:val="0002348B"/>
    <w:rsid w:val="00023742"/>
    <w:rsid w:val="00024AEF"/>
    <w:rsid w:val="00026C65"/>
    <w:rsid w:val="00027755"/>
    <w:rsid w:val="00030048"/>
    <w:rsid w:val="0003072D"/>
    <w:rsid w:val="000314CD"/>
    <w:rsid w:val="000318ED"/>
    <w:rsid w:val="00033544"/>
    <w:rsid w:val="0003479E"/>
    <w:rsid w:val="0003484F"/>
    <w:rsid w:val="00035691"/>
    <w:rsid w:val="0004132D"/>
    <w:rsid w:val="00041358"/>
    <w:rsid w:val="0004383E"/>
    <w:rsid w:val="00044CFA"/>
    <w:rsid w:val="00044D80"/>
    <w:rsid w:val="000459C7"/>
    <w:rsid w:val="00046630"/>
    <w:rsid w:val="00046C80"/>
    <w:rsid w:val="00047FFA"/>
    <w:rsid w:val="00050112"/>
    <w:rsid w:val="00050466"/>
    <w:rsid w:val="000505CC"/>
    <w:rsid w:val="000511F9"/>
    <w:rsid w:val="0005230E"/>
    <w:rsid w:val="00052850"/>
    <w:rsid w:val="000528A2"/>
    <w:rsid w:val="00052BBA"/>
    <w:rsid w:val="00052C0A"/>
    <w:rsid w:val="00052E2B"/>
    <w:rsid w:val="00054D9D"/>
    <w:rsid w:val="00055676"/>
    <w:rsid w:val="00056544"/>
    <w:rsid w:val="00056949"/>
    <w:rsid w:val="000578A2"/>
    <w:rsid w:val="00060269"/>
    <w:rsid w:val="00060D8E"/>
    <w:rsid w:val="00062159"/>
    <w:rsid w:val="0006245E"/>
    <w:rsid w:val="00062ABB"/>
    <w:rsid w:val="000631B7"/>
    <w:rsid w:val="00063D9E"/>
    <w:rsid w:val="00064AD3"/>
    <w:rsid w:val="00064CE3"/>
    <w:rsid w:val="00065088"/>
    <w:rsid w:val="0006519B"/>
    <w:rsid w:val="000652D3"/>
    <w:rsid w:val="000654A0"/>
    <w:rsid w:val="00066565"/>
    <w:rsid w:val="00067799"/>
    <w:rsid w:val="00067D46"/>
    <w:rsid w:val="00067FFB"/>
    <w:rsid w:val="000707CA"/>
    <w:rsid w:val="000707FF"/>
    <w:rsid w:val="00070D32"/>
    <w:rsid w:val="00071354"/>
    <w:rsid w:val="0007208A"/>
    <w:rsid w:val="000721F7"/>
    <w:rsid w:val="00072BBA"/>
    <w:rsid w:val="00072FF5"/>
    <w:rsid w:val="00075FDA"/>
    <w:rsid w:val="000762E8"/>
    <w:rsid w:val="00076386"/>
    <w:rsid w:val="00076D82"/>
    <w:rsid w:val="00081EC2"/>
    <w:rsid w:val="000823FE"/>
    <w:rsid w:val="00083800"/>
    <w:rsid w:val="00083C3D"/>
    <w:rsid w:val="00084A65"/>
    <w:rsid w:val="0009185A"/>
    <w:rsid w:val="00091A92"/>
    <w:rsid w:val="00093C49"/>
    <w:rsid w:val="00094050"/>
    <w:rsid w:val="00095A80"/>
    <w:rsid w:val="00096724"/>
    <w:rsid w:val="00096CFC"/>
    <w:rsid w:val="000973C8"/>
    <w:rsid w:val="000973E1"/>
    <w:rsid w:val="000A1402"/>
    <w:rsid w:val="000A20BA"/>
    <w:rsid w:val="000A262C"/>
    <w:rsid w:val="000A38C0"/>
    <w:rsid w:val="000A3C8D"/>
    <w:rsid w:val="000A40EC"/>
    <w:rsid w:val="000A4BB2"/>
    <w:rsid w:val="000A54EE"/>
    <w:rsid w:val="000A6A23"/>
    <w:rsid w:val="000A7BC5"/>
    <w:rsid w:val="000A7F64"/>
    <w:rsid w:val="000B0C45"/>
    <w:rsid w:val="000B12B9"/>
    <w:rsid w:val="000B16DB"/>
    <w:rsid w:val="000B1C5E"/>
    <w:rsid w:val="000B1D79"/>
    <w:rsid w:val="000B2282"/>
    <w:rsid w:val="000B2A11"/>
    <w:rsid w:val="000B2A5B"/>
    <w:rsid w:val="000B2B69"/>
    <w:rsid w:val="000B3B91"/>
    <w:rsid w:val="000B5AC9"/>
    <w:rsid w:val="000B5F0A"/>
    <w:rsid w:val="000C1D59"/>
    <w:rsid w:val="000C3B02"/>
    <w:rsid w:val="000C501D"/>
    <w:rsid w:val="000C74BA"/>
    <w:rsid w:val="000C7531"/>
    <w:rsid w:val="000C7C3F"/>
    <w:rsid w:val="000D0BD6"/>
    <w:rsid w:val="000D0C61"/>
    <w:rsid w:val="000D0F89"/>
    <w:rsid w:val="000D27AD"/>
    <w:rsid w:val="000D29D1"/>
    <w:rsid w:val="000D2B0A"/>
    <w:rsid w:val="000D3286"/>
    <w:rsid w:val="000D344D"/>
    <w:rsid w:val="000D3FBC"/>
    <w:rsid w:val="000D40E7"/>
    <w:rsid w:val="000D47F3"/>
    <w:rsid w:val="000D584F"/>
    <w:rsid w:val="000E071E"/>
    <w:rsid w:val="000E248B"/>
    <w:rsid w:val="000E2503"/>
    <w:rsid w:val="000E27AA"/>
    <w:rsid w:val="000E337A"/>
    <w:rsid w:val="000E4350"/>
    <w:rsid w:val="000E4408"/>
    <w:rsid w:val="000E5716"/>
    <w:rsid w:val="000E73D4"/>
    <w:rsid w:val="000E75EA"/>
    <w:rsid w:val="000E7A24"/>
    <w:rsid w:val="000E7A79"/>
    <w:rsid w:val="000F15B2"/>
    <w:rsid w:val="000F19DE"/>
    <w:rsid w:val="000F2E1F"/>
    <w:rsid w:val="000F37B0"/>
    <w:rsid w:val="000F4595"/>
    <w:rsid w:val="000F46C5"/>
    <w:rsid w:val="000F4CB2"/>
    <w:rsid w:val="000F4EC0"/>
    <w:rsid w:val="000F568D"/>
    <w:rsid w:val="000F6351"/>
    <w:rsid w:val="000F72E8"/>
    <w:rsid w:val="00101875"/>
    <w:rsid w:val="00101C4F"/>
    <w:rsid w:val="00102C9F"/>
    <w:rsid w:val="001036C8"/>
    <w:rsid w:val="00105DB7"/>
    <w:rsid w:val="001068D2"/>
    <w:rsid w:val="001103BD"/>
    <w:rsid w:val="00111208"/>
    <w:rsid w:val="00111808"/>
    <w:rsid w:val="0011339F"/>
    <w:rsid w:val="00114E96"/>
    <w:rsid w:val="00115828"/>
    <w:rsid w:val="0011644A"/>
    <w:rsid w:val="001167B3"/>
    <w:rsid w:val="00117332"/>
    <w:rsid w:val="001204DD"/>
    <w:rsid w:val="00122839"/>
    <w:rsid w:val="001237AC"/>
    <w:rsid w:val="00123A30"/>
    <w:rsid w:val="00123FC0"/>
    <w:rsid w:val="00124665"/>
    <w:rsid w:val="00124E12"/>
    <w:rsid w:val="00125A7C"/>
    <w:rsid w:val="0012673D"/>
    <w:rsid w:val="001269B8"/>
    <w:rsid w:val="00127099"/>
    <w:rsid w:val="00130783"/>
    <w:rsid w:val="00132B71"/>
    <w:rsid w:val="00133579"/>
    <w:rsid w:val="0013427A"/>
    <w:rsid w:val="001346D5"/>
    <w:rsid w:val="001362C2"/>
    <w:rsid w:val="00136955"/>
    <w:rsid w:val="00136E19"/>
    <w:rsid w:val="001371B2"/>
    <w:rsid w:val="00137381"/>
    <w:rsid w:val="00137873"/>
    <w:rsid w:val="00137930"/>
    <w:rsid w:val="00137D78"/>
    <w:rsid w:val="001409A0"/>
    <w:rsid w:val="00140B7C"/>
    <w:rsid w:val="0014126E"/>
    <w:rsid w:val="00141F08"/>
    <w:rsid w:val="00141FF2"/>
    <w:rsid w:val="0014287A"/>
    <w:rsid w:val="00142DE2"/>
    <w:rsid w:val="00144C87"/>
    <w:rsid w:val="001467B1"/>
    <w:rsid w:val="00146DF0"/>
    <w:rsid w:val="00150175"/>
    <w:rsid w:val="001502C8"/>
    <w:rsid w:val="00150B49"/>
    <w:rsid w:val="0015130F"/>
    <w:rsid w:val="00153A0F"/>
    <w:rsid w:val="001540E4"/>
    <w:rsid w:val="00154DA4"/>
    <w:rsid w:val="00155464"/>
    <w:rsid w:val="00155BFD"/>
    <w:rsid w:val="00156A19"/>
    <w:rsid w:val="00156DC3"/>
    <w:rsid w:val="00157390"/>
    <w:rsid w:val="001605FD"/>
    <w:rsid w:val="00160998"/>
    <w:rsid w:val="00160CD6"/>
    <w:rsid w:val="00161F86"/>
    <w:rsid w:val="0016316A"/>
    <w:rsid w:val="00163E1B"/>
    <w:rsid w:val="00164171"/>
    <w:rsid w:val="00164E58"/>
    <w:rsid w:val="00165033"/>
    <w:rsid w:val="00165B18"/>
    <w:rsid w:val="00166205"/>
    <w:rsid w:val="001670EA"/>
    <w:rsid w:val="001674A0"/>
    <w:rsid w:val="00170A50"/>
    <w:rsid w:val="00171F0C"/>
    <w:rsid w:val="00174FFD"/>
    <w:rsid w:val="001759CA"/>
    <w:rsid w:val="00176F1E"/>
    <w:rsid w:val="0017726A"/>
    <w:rsid w:val="00177D03"/>
    <w:rsid w:val="00177DD3"/>
    <w:rsid w:val="00180278"/>
    <w:rsid w:val="00181296"/>
    <w:rsid w:val="001818A7"/>
    <w:rsid w:val="00181E86"/>
    <w:rsid w:val="00182725"/>
    <w:rsid w:val="001829C8"/>
    <w:rsid w:val="00182CA0"/>
    <w:rsid w:val="00184098"/>
    <w:rsid w:val="00184804"/>
    <w:rsid w:val="00184C82"/>
    <w:rsid w:val="00185DD9"/>
    <w:rsid w:val="00186904"/>
    <w:rsid w:val="00186B0A"/>
    <w:rsid w:val="00186C5C"/>
    <w:rsid w:val="001905BD"/>
    <w:rsid w:val="00192FE6"/>
    <w:rsid w:val="00193986"/>
    <w:rsid w:val="00193B08"/>
    <w:rsid w:val="00194570"/>
    <w:rsid w:val="00195EC5"/>
    <w:rsid w:val="00196BF4"/>
    <w:rsid w:val="001972DA"/>
    <w:rsid w:val="001976AA"/>
    <w:rsid w:val="001A02F6"/>
    <w:rsid w:val="001A15C6"/>
    <w:rsid w:val="001A32B7"/>
    <w:rsid w:val="001A5E19"/>
    <w:rsid w:val="001B01FA"/>
    <w:rsid w:val="001B0832"/>
    <w:rsid w:val="001B18A7"/>
    <w:rsid w:val="001B21C9"/>
    <w:rsid w:val="001B2762"/>
    <w:rsid w:val="001B3270"/>
    <w:rsid w:val="001B36FC"/>
    <w:rsid w:val="001B41ED"/>
    <w:rsid w:val="001B4607"/>
    <w:rsid w:val="001B480A"/>
    <w:rsid w:val="001B55D8"/>
    <w:rsid w:val="001B69CA"/>
    <w:rsid w:val="001B7E0C"/>
    <w:rsid w:val="001C0586"/>
    <w:rsid w:val="001C0674"/>
    <w:rsid w:val="001C226F"/>
    <w:rsid w:val="001C52F3"/>
    <w:rsid w:val="001C54B2"/>
    <w:rsid w:val="001C66AC"/>
    <w:rsid w:val="001C6754"/>
    <w:rsid w:val="001C77F0"/>
    <w:rsid w:val="001D04AA"/>
    <w:rsid w:val="001D2EF5"/>
    <w:rsid w:val="001D46A0"/>
    <w:rsid w:val="001D4E22"/>
    <w:rsid w:val="001D52A1"/>
    <w:rsid w:val="001D6AE6"/>
    <w:rsid w:val="001D7CA4"/>
    <w:rsid w:val="001D7E58"/>
    <w:rsid w:val="001E0E1B"/>
    <w:rsid w:val="001E1CF8"/>
    <w:rsid w:val="001E2AAD"/>
    <w:rsid w:val="001E30A0"/>
    <w:rsid w:val="001E37B3"/>
    <w:rsid w:val="001E3F75"/>
    <w:rsid w:val="001E4331"/>
    <w:rsid w:val="001E4D4F"/>
    <w:rsid w:val="001E57CF"/>
    <w:rsid w:val="001E5981"/>
    <w:rsid w:val="001E62FD"/>
    <w:rsid w:val="001E74BA"/>
    <w:rsid w:val="001E7587"/>
    <w:rsid w:val="001E7B9F"/>
    <w:rsid w:val="001F01FB"/>
    <w:rsid w:val="001F0658"/>
    <w:rsid w:val="001F0E92"/>
    <w:rsid w:val="001F1987"/>
    <w:rsid w:val="001F23BD"/>
    <w:rsid w:val="001F28AA"/>
    <w:rsid w:val="001F2A5D"/>
    <w:rsid w:val="001F34DA"/>
    <w:rsid w:val="001F4136"/>
    <w:rsid w:val="001F4DAC"/>
    <w:rsid w:val="001F5019"/>
    <w:rsid w:val="001F650F"/>
    <w:rsid w:val="001F656C"/>
    <w:rsid w:val="001F67AA"/>
    <w:rsid w:val="001F7599"/>
    <w:rsid w:val="00200E97"/>
    <w:rsid w:val="0020189F"/>
    <w:rsid w:val="002025FC"/>
    <w:rsid w:val="00204048"/>
    <w:rsid w:val="00204B3A"/>
    <w:rsid w:val="0020535A"/>
    <w:rsid w:val="00205642"/>
    <w:rsid w:val="002061BC"/>
    <w:rsid w:val="00206955"/>
    <w:rsid w:val="00207860"/>
    <w:rsid w:val="00210309"/>
    <w:rsid w:val="00212FB8"/>
    <w:rsid w:val="00213709"/>
    <w:rsid w:val="00214400"/>
    <w:rsid w:val="002149AF"/>
    <w:rsid w:val="00214A86"/>
    <w:rsid w:val="00215AAA"/>
    <w:rsid w:val="0021683C"/>
    <w:rsid w:val="00216856"/>
    <w:rsid w:val="002201EA"/>
    <w:rsid w:val="00221985"/>
    <w:rsid w:val="00221EC5"/>
    <w:rsid w:val="00222A7A"/>
    <w:rsid w:val="002234D9"/>
    <w:rsid w:val="00224A2C"/>
    <w:rsid w:val="002256D9"/>
    <w:rsid w:val="00225882"/>
    <w:rsid w:val="00225FFF"/>
    <w:rsid w:val="0022687C"/>
    <w:rsid w:val="002269C0"/>
    <w:rsid w:val="00226FA5"/>
    <w:rsid w:val="002272DB"/>
    <w:rsid w:val="00227BDA"/>
    <w:rsid w:val="002306F8"/>
    <w:rsid w:val="002312F4"/>
    <w:rsid w:val="002313A2"/>
    <w:rsid w:val="00231FC7"/>
    <w:rsid w:val="00232930"/>
    <w:rsid w:val="00232A95"/>
    <w:rsid w:val="00232DD9"/>
    <w:rsid w:val="00233403"/>
    <w:rsid w:val="00233440"/>
    <w:rsid w:val="00233D0E"/>
    <w:rsid w:val="0023487D"/>
    <w:rsid w:val="00236450"/>
    <w:rsid w:val="0023765A"/>
    <w:rsid w:val="00237921"/>
    <w:rsid w:val="00241311"/>
    <w:rsid w:val="00241F82"/>
    <w:rsid w:val="00242E22"/>
    <w:rsid w:val="0024336B"/>
    <w:rsid w:val="0024424F"/>
    <w:rsid w:val="00244595"/>
    <w:rsid w:val="00244D28"/>
    <w:rsid w:val="00245720"/>
    <w:rsid w:val="00245A6F"/>
    <w:rsid w:val="00245FD5"/>
    <w:rsid w:val="002465E4"/>
    <w:rsid w:val="002477DF"/>
    <w:rsid w:val="00250E05"/>
    <w:rsid w:val="00250E54"/>
    <w:rsid w:val="00251AD6"/>
    <w:rsid w:val="00252BBC"/>
    <w:rsid w:val="00252C17"/>
    <w:rsid w:val="0025307F"/>
    <w:rsid w:val="002551BD"/>
    <w:rsid w:val="00255F73"/>
    <w:rsid w:val="002568D0"/>
    <w:rsid w:val="00256B73"/>
    <w:rsid w:val="00262661"/>
    <w:rsid w:val="0026299C"/>
    <w:rsid w:val="002632DF"/>
    <w:rsid w:val="0026400A"/>
    <w:rsid w:val="002640BA"/>
    <w:rsid w:val="00264CF2"/>
    <w:rsid w:val="00266462"/>
    <w:rsid w:val="00267587"/>
    <w:rsid w:val="00270822"/>
    <w:rsid w:val="00271222"/>
    <w:rsid w:val="00271589"/>
    <w:rsid w:val="00271CF1"/>
    <w:rsid w:val="00273177"/>
    <w:rsid w:val="00275074"/>
    <w:rsid w:val="002758A4"/>
    <w:rsid w:val="002763E9"/>
    <w:rsid w:val="00276736"/>
    <w:rsid w:val="00284C7E"/>
    <w:rsid w:val="00284E32"/>
    <w:rsid w:val="002851EB"/>
    <w:rsid w:val="00285510"/>
    <w:rsid w:val="00285DE2"/>
    <w:rsid w:val="0028616D"/>
    <w:rsid w:val="002865E2"/>
    <w:rsid w:val="00286965"/>
    <w:rsid w:val="002869D5"/>
    <w:rsid w:val="00286A88"/>
    <w:rsid w:val="00286AE7"/>
    <w:rsid w:val="002879CD"/>
    <w:rsid w:val="0029129E"/>
    <w:rsid w:val="0029136E"/>
    <w:rsid w:val="00292399"/>
    <w:rsid w:val="0029294E"/>
    <w:rsid w:val="00293D90"/>
    <w:rsid w:val="00294445"/>
    <w:rsid w:val="00294B4D"/>
    <w:rsid w:val="00294E53"/>
    <w:rsid w:val="002960D5"/>
    <w:rsid w:val="00296371"/>
    <w:rsid w:val="00297CC6"/>
    <w:rsid w:val="002A1062"/>
    <w:rsid w:val="002A2012"/>
    <w:rsid w:val="002A2413"/>
    <w:rsid w:val="002A2F5E"/>
    <w:rsid w:val="002A352A"/>
    <w:rsid w:val="002A607D"/>
    <w:rsid w:val="002B0878"/>
    <w:rsid w:val="002B132E"/>
    <w:rsid w:val="002B1D53"/>
    <w:rsid w:val="002B257E"/>
    <w:rsid w:val="002B2813"/>
    <w:rsid w:val="002B2D29"/>
    <w:rsid w:val="002B411D"/>
    <w:rsid w:val="002B5DA0"/>
    <w:rsid w:val="002C0C4B"/>
    <w:rsid w:val="002C1EEA"/>
    <w:rsid w:val="002C2600"/>
    <w:rsid w:val="002C47AD"/>
    <w:rsid w:val="002C6034"/>
    <w:rsid w:val="002C613E"/>
    <w:rsid w:val="002C635B"/>
    <w:rsid w:val="002C7CFF"/>
    <w:rsid w:val="002D067B"/>
    <w:rsid w:val="002D0BC6"/>
    <w:rsid w:val="002D11F7"/>
    <w:rsid w:val="002D17C5"/>
    <w:rsid w:val="002D365F"/>
    <w:rsid w:val="002D406E"/>
    <w:rsid w:val="002D4127"/>
    <w:rsid w:val="002D6E49"/>
    <w:rsid w:val="002D76C6"/>
    <w:rsid w:val="002D7C86"/>
    <w:rsid w:val="002E0692"/>
    <w:rsid w:val="002E1592"/>
    <w:rsid w:val="002E1D74"/>
    <w:rsid w:val="002E2943"/>
    <w:rsid w:val="002E2CF1"/>
    <w:rsid w:val="002E34AF"/>
    <w:rsid w:val="002E4AAC"/>
    <w:rsid w:val="002E53DE"/>
    <w:rsid w:val="002E563B"/>
    <w:rsid w:val="002E62D2"/>
    <w:rsid w:val="002E74AF"/>
    <w:rsid w:val="002E758C"/>
    <w:rsid w:val="002E7784"/>
    <w:rsid w:val="002F048F"/>
    <w:rsid w:val="002F1038"/>
    <w:rsid w:val="002F1B80"/>
    <w:rsid w:val="002F1CDB"/>
    <w:rsid w:val="002F22FF"/>
    <w:rsid w:val="002F2CB7"/>
    <w:rsid w:val="002F2D8F"/>
    <w:rsid w:val="002F695B"/>
    <w:rsid w:val="002F72DA"/>
    <w:rsid w:val="002F76B1"/>
    <w:rsid w:val="002F7CC8"/>
    <w:rsid w:val="002F7D66"/>
    <w:rsid w:val="002F7DBE"/>
    <w:rsid w:val="0030055E"/>
    <w:rsid w:val="0030090B"/>
    <w:rsid w:val="00300C1D"/>
    <w:rsid w:val="00302AE8"/>
    <w:rsid w:val="00302BB1"/>
    <w:rsid w:val="00303A23"/>
    <w:rsid w:val="00304210"/>
    <w:rsid w:val="003048D7"/>
    <w:rsid w:val="00304A1B"/>
    <w:rsid w:val="00304AD2"/>
    <w:rsid w:val="003062E6"/>
    <w:rsid w:val="003068B6"/>
    <w:rsid w:val="003071F6"/>
    <w:rsid w:val="00307FE0"/>
    <w:rsid w:val="00311944"/>
    <w:rsid w:val="00311C08"/>
    <w:rsid w:val="00312567"/>
    <w:rsid w:val="00312ECE"/>
    <w:rsid w:val="00313510"/>
    <w:rsid w:val="0031393C"/>
    <w:rsid w:val="00313CB0"/>
    <w:rsid w:val="00313F96"/>
    <w:rsid w:val="003150CE"/>
    <w:rsid w:val="00315AAB"/>
    <w:rsid w:val="003175E1"/>
    <w:rsid w:val="00317BD0"/>
    <w:rsid w:val="00320299"/>
    <w:rsid w:val="00321154"/>
    <w:rsid w:val="003211B0"/>
    <w:rsid w:val="00321EDA"/>
    <w:rsid w:val="0032226E"/>
    <w:rsid w:val="0032235B"/>
    <w:rsid w:val="003224AA"/>
    <w:rsid w:val="003224E7"/>
    <w:rsid w:val="003254F7"/>
    <w:rsid w:val="00325D7A"/>
    <w:rsid w:val="00326145"/>
    <w:rsid w:val="00326198"/>
    <w:rsid w:val="00327163"/>
    <w:rsid w:val="00327305"/>
    <w:rsid w:val="00327531"/>
    <w:rsid w:val="00330187"/>
    <w:rsid w:val="003303B6"/>
    <w:rsid w:val="00331C77"/>
    <w:rsid w:val="00331DB6"/>
    <w:rsid w:val="00331F96"/>
    <w:rsid w:val="00332B55"/>
    <w:rsid w:val="00335EA8"/>
    <w:rsid w:val="003363DD"/>
    <w:rsid w:val="00336B9B"/>
    <w:rsid w:val="003376DA"/>
    <w:rsid w:val="00340361"/>
    <w:rsid w:val="00340795"/>
    <w:rsid w:val="0034111C"/>
    <w:rsid w:val="0034114A"/>
    <w:rsid w:val="00341E60"/>
    <w:rsid w:val="0034217F"/>
    <w:rsid w:val="00342AD2"/>
    <w:rsid w:val="00342DBB"/>
    <w:rsid w:val="00343954"/>
    <w:rsid w:val="0034535E"/>
    <w:rsid w:val="00345405"/>
    <w:rsid w:val="00345DDD"/>
    <w:rsid w:val="00346C1C"/>
    <w:rsid w:val="00346FED"/>
    <w:rsid w:val="0035007F"/>
    <w:rsid w:val="00351E01"/>
    <w:rsid w:val="00352D21"/>
    <w:rsid w:val="0035443D"/>
    <w:rsid w:val="00354FEE"/>
    <w:rsid w:val="003554FB"/>
    <w:rsid w:val="00356275"/>
    <w:rsid w:val="003569B7"/>
    <w:rsid w:val="00356B54"/>
    <w:rsid w:val="00356C0B"/>
    <w:rsid w:val="00357B9C"/>
    <w:rsid w:val="00361412"/>
    <w:rsid w:val="003615CA"/>
    <w:rsid w:val="00362E7F"/>
    <w:rsid w:val="003642A6"/>
    <w:rsid w:val="00367337"/>
    <w:rsid w:val="00367367"/>
    <w:rsid w:val="00367DA6"/>
    <w:rsid w:val="00367FD8"/>
    <w:rsid w:val="00370B63"/>
    <w:rsid w:val="00370FCC"/>
    <w:rsid w:val="003711AF"/>
    <w:rsid w:val="00371921"/>
    <w:rsid w:val="00371EF8"/>
    <w:rsid w:val="0037414A"/>
    <w:rsid w:val="00374848"/>
    <w:rsid w:val="00375D09"/>
    <w:rsid w:val="00377260"/>
    <w:rsid w:val="0037739D"/>
    <w:rsid w:val="0037751C"/>
    <w:rsid w:val="00380C79"/>
    <w:rsid w:val="00380F3F"/>
    <w:rsid w:val="00382232"/>
    <w:rsid w:val="00382F1A"/>
    <w:rsid w:val="00383282"/>
    <w:rsid w:val="00383658"/>
    <w:rsid w:val="0038412E"/>
    <w:rsid w:val="003847ED"/>
    <w:rsid w:val="00384968"/>
    <w:rsid w:val="00386053"/>
    <w:rsid w:val="0038771D"/>
    <w:rsid w:val="003908F5"/>
    <w:rsid w:val="00393E44"/>
    <w:rsid w:val="00394270"/>
    <w:rsid w:val="00397AB6"/>
    <w:rsid w:val="00397ACA"/>
    <w:rsid w:val="003A10C3"/>
    <w:rsid w:val="003A2F16"/>
    <w:rsid w:val="003A597F"/>
    <w:rsid w:val="003A71A8"/>
    <w:rsid w:val="003B00CA"/>
    <w:rsid w:val="003B030B"/>
    <w:rsid w:val="003B0432"/>
    <w:rsid w:val="003B0821"/>
    <w:rsid w:val="003B0BE9"/>
    <w:rsid w:val="003B0DAF"/>
    <w:rsid w:val="003B2898"/>
    <w:rsid w:val="003B2E9B"/>
    <w:rsid w:val="003B2F8D"/>
    <w:rsid w:val="003B4FAA"/>
    <w:rsid w:val="003B547A"/>
    <w:rsid w:val="003B68C8"/>
    <w:rsid w:val="003B6C6C"/>
    <w:rsid w:val="003B6CB0"/>
    <w:rsid w:val="003B75B9"/>
    <w:rsid w:val="003C0DA2"/>
    <w:rsid w:val="003C1A18"/>
    <w:rsid w:val="003C1DE0"/>
    <w:rsid w:val="003C2902"/>
    <w:rsid w:val="003C3261"/>
    <w:rsid w:val="003C43D2"/>
    <w:rsid w:val="003C5264"/>
    <w:rsid w:val="003C5C41"/>
    <w:rsid w:val="003C7461"/>
    <w:rsid w:val="003D0788"/>
    <w:rsid w:val="003D11E7"/>
    <w:rsid w:val="003D132A"/>
    <w:rsid w:val="003D1517"/>
    <w:rsid w:val="003D1CEB"/>
    <w:rsid w:val="003D2938"/>
    <w:rsid w:val="003D2C75"/>
    <w:rsid w:val="003D3216"/>
    <w:rsid w:val="003D3607"/>
    <w:rsid w:val="003D3FBA"/>
    <w:rsid w:val="003D402B"/>
    <w:rsid w:val="003D764F"/>
    <w:rsid w:val="003D7D81"/>
    <w:rsid w:val="003E0667"/>
    <w:rsid w:val="003E0BCE"/>
    <w:rsid w:val="003E13E0"/>
    <w:rsid w:val="003E1660"/>
    <w:rsid w:val="003E1C09"/>
    <w:rsid w:val="003E1CD1"/>
    <w:rsid w:val="003E1DC2"/>
    <w:rsid w:val="003E2A2D"/>
    <w:rsid w:val="003E3497"/>
    <w:rsid w:val="003E41AA"/>
    <w:rsid w:val="003E521F"/>
    <w:rsid w:val="003E5606"/>
    <w:rsid w:val="003E64A9"/>
    <w:rsid w:val="003E7002"/>
    <w:rsid w:val="003E7905"/>
    <w:rsid w:val="003F0336"/>
    <w:rsid w:val="003F2147"/>
    <w:rsid w:val="003F3129"/>
    <w:rsid w:val="003F3866"/>
    <w:rsid w:val="003F4488"/>
    <w:rsid w:val="003F5547"/>
    <w:rsid w:val="003F5C40"/>
    <w:rsid w:val="003F6E12"/>
    <w:rsid w:val="003F75ED"/>
    <w:rsid w:val="004002B7"/>
    <w:rsid w:val="00400F31"/>
    <w:rsid w:val="00404844"/>
    <w:rsid w:val="00406B4D"/>
    <w:rsid w:val="0041443C"/>
    <w:rsid w:val="004154F7"/>
    <w:rsid w:val="00416D44"/>
    <w:rsid w:val="00416EB8"/>
    <w:rsid w:val="004172D6"/>
    <w:rsid w:val="004176FF"/>
    <w:rsid w:val="00421A27"/>
    <w:rsid w:val="00421D0A"/>
    <w:rsid w:val="004238B8"/>
    <w:rsid w:val="004241C5"/>
    <w:rsid w:val="004244AF"/>
    <w:rsid w:val="00424FA7"/>
    <w:rsid w:val="00425397"/>
    <w:rsid w:val="00425D78"/>
    <w:rsid w:val="00426428"/>
    <w:rsid w:val="00426A87"/>
    <w:rsid w:val="004309D8"/>
    <w:rsid w:val="004313D1"/>
    <w:rsid w:val="00431FD5"/>
    <w:rsid w:val="00432110"/>
    <w:rsid w:val="00433EBE"/>
    <w:rsid w:val="00434406"/>
    <w:rsid w:val="00437A1D"/>
    <w:rsid w:val="00440FED"/>
    <w:rsid w:val="00441194"/>
    <w:rsid w:val="00441B0A"/>
    <w:rsid w:val="00441B92"/>
    <w:rsid w:val="00442607"/>
    <w:rsid w:val="0044474B"/>
    <w:rsid w:val="00445F09"/>
    <w:rsid w:val="00445FF7"/>
    <w:rsid w:val="00450575"/>
    <w:rsid w:val="00453341"/>
    <w:rsid w:val="0045360A"/>
    <w:rsid w:val="00453EF8"/>
    <w:rsid w:val="004545C6"/>
    <w:rsid w:val="00454DCA"/>
    <w:rsid w:val="00455A54"/>
    <w:rsid w:val="00456006"/>
    <w:rsid w:val="004561C0"/>
    <w:rsid w:val="00456544"/>
    <w:rsid w:val="00456649"/>
    <w:rsid w:val="004567B7"/>
    <w:rsid w:val="00456856"/>
    <w:rsid w:val="00456C0F"/>
    <w:rsid w:val="00457810"/>
    <w:rsid w:val="00457F50"/>
    <w:rsid w:val="00461210"/>
    <w:rsid w:val="00462490"/>
    <w:rsid w:val="00462A0A"/>
    <w:rsid w:val="0046483C"/>
    <w:rsid w:val="00465299"/>
    <w:rsid w:val="00465C91"/>
    <w:rsid w:val="00466223"/>
    <w:rsid w:val="00466A0F"/>
    <w:rsid w:val="00466DF3"/>
    <w:rsid w:val="0046795B"/>
    <w:rsid w:val="00470341"/>
    <w:rsid w:val="004708C0"/>
    <w:rsid w:val="004715CB"/>
    <w:rsid w:val="00471863"/>
    <w:rsid w:val="004718EA"/>
    <w:rsid w:val="00471A2A"/>
    <w:rsid w:val="00473293"/>
    <w:rsid w:val="00473A14"/>
    <w:rsid w:val="00474CA8"/>
    <w:rsid w:val="00474E43"/>
    <w:rsid w:val="00475A4A"/>
    <w:rsid w:val="0048076D"/>
    <w:rsid w:val="00480F9C"/>
    <w:rsid w:val="004817DD"/>
    <w:rsid w:val="00481C24"/>
    <w:rsid w:val="00481D90"/>
    <w:rsid w:val="00482CD4"/>
    <w:rsid w:val="00483261"/>
    <w:rsid w:val="00484021"/>
    <w:rsid w:val="00485843"/>
    <w:rsid w:val="00485B23"/>
    <w:rsid w:val="0048630D"/>
    <w:rsid w:val="00486EC8"/>
    <w:rsid w:val="004874E4"/>
    <w:rsid w:val="004905BA"/>
    <w:rsid w:val="0049070D"/>
    <w:rsid w:val="00490885"/>
    <w:rsid w:val="004914A9"/>
    <w:rsid w:val="004916FC"/>
    <w:rsid w:val="00491BE4"/>
    <w:rsid w:val="00491DB2"/>
    <w:rsid w:val="00492877"/>
    <w:rsid w:val="00492B27"/>
    <w:rsid w:val="00496DC2"/>
    <w:rsid w:val="00496E75"/>
    <w:rsid w:val="004A014C"/>
    <w:rsid w:val="004A0AA8"/>
    <w:rsid w:val="004A1FE4"/>
    <w:rsid w:val="004A2CA9"/>
    <w:rsid w:val="004A33EF"/>
    <w:rsid w:val="004A34C9"/>
    <w:rsid w:val="004A3CB5"/>
    <w:rsid w:val="004A441B"/>
    <w:rsid w:val="004A537D"/>
    <w:rsid w:val="004A574B"/>
    <w:rsid w:val="004A67F0"/>
    <w:rsid w:val="004A6EE8"/>
    <w:rsid w:val="004A71C3"/>
    <w:rsid w:val="004A74D2"/>
    <w:rsid w:val="004A7769"/>
    <w:rsid w:val="004B0DCB"/>
    <w:rsid w:val="004B1484"/>
    <w:rsid w:val="004B23AD"/>
    <w:rsid w:val="004B24E5"/>
    <w:rsid w:val="004B2965"/>
    <w:rsid w:val="004B3072"/>
    <w:rsid w:val="004B4224"/>
    <w:rsid w:val="004B4647"/>
    <w:rsid w:val="004B5E52"/>
    <w:rsid w:val="004B7455"/>
    <w:rsid w:val="004B74FF"/>
    <w:rsid w:val="004B7CE4"/>
    <w:rsid w:val="004C0401"/>
    <w:rsid w:val="004C0C49"/>
    <w:rsid w:val="004C183D"/>
    <w:rsid w:val="004C2669"/>
    <w:rsid w:val="004C3CE0"/>
    <w:rsid w:val="004C3EC7"/>
    <w:rsid w:val="004C3EEE"/>
    <w:rsid w:val="004C483D"/>
    <w:rsid w:val="004C5BCC"/>
    <w:rsid w:val="004C6C7D"/>
    <w:rsid w:val="004C795A"/>
    <w:rsid w:val="004C7F93"/>
    <w:rsid w:val="004D26B8"/>
    <w:rsid w:val="004D38C2"/>
    <w:rsid w:val="004D4FBD"/>
    <w:rsid w:val="004D4FC0"/>
    <w:rsid w:val="004D6736"/>
    <w:rsid w:val="004D7DA8"/>
    <w:rsid w:val="004E2892"/>
    <w:rsid w:val="004E362B"/>
    <w:rsid w:val="004E3681"/>
    <w:rsid w:val="004E3D74"/>
    <w:rsid w:val="004E4E87"/>
    <w:rsid w:val="004E784B"/>
    <w:rsid w:val="004E7ED0"/>
    <w:rsid w:val="004F0224"/>
    <w:rsid w:val="004F0DB0"/>
    <w:rsid w:val="004F0DB4"/>
    <w:rsid w:val="004F0E04"/>
    <w:rsid w:val="004F1EBC"/>
    <w:rsid w:val="004F20E8"/>
    <w:rsid w:val="004F2DDD"/>
    <w:rsid w:val="004F3076"/>
    <w:rsid w:val="004F3B71"/>
    <w:rsid w:val="004F4B2F"/>
    <w:rsid w:val="004F5154"/>
    <w:rsid w:val="004F5835"/>
    <w:rsid w:val="004F661C"/>
    <w:rsid w:val="004F6D99"/>
    <w:rsid w:val="004F7070"/>
    <w:rsid w:val="004F7FF6"/>
    <w:rsid w:val="00500572"/>
    <w:rsid w:val="00501304"/>
    <w:rsid w:val="00501425"/>
    <w:rsid w:val="00502711"/>
    <w:rsid w:val="005036BE"/>
    <w:rsid w:val="00504311"/>
    <w:rsid w:val="0050485C"/>
    <w:rsid w:val="00504AC6"/>
    <w:rsid w:val="005069FF"/>
    <w:rsid w:val="005078AA"/>
    <w:rsid w:val="0051033E"/>
    <w:rsid w:val="00510C5E"/>
    <w:rsid w:val="00511079"/>
    <w:rsid w:val="00511CDF"/>
    <w:rsid w:val="00511DA3"/>
    <w:rsid w:val="0051221F"/>
    <w:rsid w:val="00512829"/>
    <w:rsid w:val="00513839"/>
    <w:rsid w:val="00513B29"/>
    <w:rsid w:val="00513DEF"/>
    <w:rsid w:val="00513F57"/>
    <w:rsid w:val="0051423C"/>
    <w:rsid w:val="00514C91"/>
    <w:rsid w:val="005153CE"/>
    <w:rsid w:val="00516241"/>
    <w:rsid w:val="0051669F"/>
    <w:rsid w:val="00516FD9"/>
    <w:rsid w:val="00517261"/>
    <w:rsid w:val="0051791D"/>
    <w:rsid w:val="00520D6D"/>
    <w:rsid w:val="00523E75"/>
    <w:rsid w:val="005243E0"/>
    <w:rsid w:val="005256F3"/>
    <w:rsid w:val="00525F32"/>
    <w:rsid w:val="005265A3"/>
    <w:rsid w:val="00526783"/>
    <w:rsid w:val="0052721C"/>
    <w:rsid w:val="00527C99"/>
    <w:rsid w:val="00527FB1"/>
    <w:rsid w:val="005314C5"/>
    <w:rsid w:val="0053162F"/>
    <w:rsid w:val="00531777"/>
    <w:rsid w:val="0053281C"/>
    <w:rsid w:val="005340C9"/>
    <w:rsid w:val="0053449F"/>
    <w:rsid w:val="00535AF7"/>
    <w:rsid w:val="005375FE"/>
    <w:rsid w:val="0054044B"/>
    <w:rsid w:val="005420DE"/>
    <w:rsid w:val="00542249"/>
    <w:rsid w:val="0054226C"/>
    <w:rsid w:val="005431F5"/>
    <w:rsid w:val="00543707"/>
    <w:rsid w:val="00543EBB"/>
    <w:rsid w:val="00544213"/>
    <w:rsid w:val="005453F3"/>
    <w:rsid w:val="00545549"/>
    <w:rsid w:val="005467DC"/>
    <w:rsid w:val="005469F5"/>
    <w:rsid w:val="00547495"/>
    <w:rsid w:val="00550751"/>
    <w:rsid w:val="005518ED"/>
    <w:rsid w:val="00552093"/>
    <w:rsid w:val="00553020"/>
    <w:rsid w:val="00554E4B"/>
    <w:rsid w:val="00555F67"/>
    <w:rsid w:val="00556605"/>
    <w:rsid w:val="0055723C"/>
    <w:rsid w:val="005606A4"/>
    <w:rsid w:val="005607B8"/>
    <w:rsid w:val="00560CF5"/>
    <w:rsid w:val="0056272D"/>
    <w:rsid w:val="00562BAB"/>
    <w:rsid w:val="0056308E"/>
    <w:rsid w:val="005638C1"/>
    <w:rsid w:val="0056415C"/>
    <w:rsid w:val="005641EA"/>
    <w:rsid w:val="00564957"/>
    <w:rsid w:val="005649BF"/>
    <w:rsid w:val="005650ED"/>
    <w:rsid w:val="00565869"/>
    <w:rsid w:val="00567415"/>
    <w:rsid w:val="00567610"/>
    <w:rsid w:val="00570C3A"/>
    <w:rsid w:val="00570D9F"/>
    <w:rsid w:val="00571CA8"/>
    <w:rsid w:val="00574771"/>
    <w:rsid w:val="0057504F"/>
    <w:rsid w:val="005758DF"/>
    <w:rsid w:val="00576A4A"/>
    <w:rsid w:val="00576E21"/>
    <w:rsid w:val="00580793"/>
    <w:rsid w:val="00581470"/>
    <w:rsid w:val="00581893"/>
    <w:rsid w:val="00582087"/>
    <w:rsid w:val="00582ACE"/>
    <w:rsid w:val="005831DD"/>
    <w:rsid w:val="00584320"/>
    <w:rsid w:val="0058436F"/>
    <w:rsid w:val="00585484"/>
    <w:rsid w:val="00587229"/>
    <w:rsid w:val="00587503"/>
    <w:rsid w:val="005877C3"/>
    <w:rsid w:val="00587F7F"/>
    <w:rsid w:val="00590E8D"/>
    <w:rsid w:val="00591511"/>
    <w:rsid w:val="00591DA3"/>
    <w:rsid w:val="00592F00"/>
    <w:rsid w:val="0059331A"/>
    <w:rsid w:val="00593808"/>
    <w:rsid w:val="00596BBA"/>
    <w:rsid w:val="005972F8"/>
    <w:rsid w:val="005975C4"/>
    <w:rsid w:val="00597ED8"/>
    <w:rsid w:val="005A08F4"/>
    <w:rsid w:val="005A11D4"/>
    <w:rsid w:val="005A2D6D"/>
    <w:rsid w:val="005A34D5"/>
    <w:rsid w:val="005A3E12"/>
    <w:rsid w:val="005A423C"/>
    <w:rsid w:val="005A4904"/>
    <w:rsid w:val="005A4959"/>
    <w:rsid w:val="005A515A"/>
    <w:rsid w:val="005A6BC4"/>
    <w:rsid w:val="005A704D"/>
    <w:rsid w:val="005A7D94"/>
    <w:rsid w:val="005B1FF6"/>
    <w:rsid w:val="005B2B51"/>
    <w:rsid w:val="005B34D4"/>
    <w:rsid w:val="005B3C6D"/>
    <w:rsid w:val="005B4045"/>
    <w:rsid w:val="005B49A7"/>
    <w:rsid w:val="005B609E"/>
    <w:rsid w:val="005B6DF6"/>
    <w:rsid w:val="005B6EA6"/>
    <w:rsid w:val="005B780E"/>
    <w:rsid w:val="005B7A2E"/>
    <w:rsid w:val="005B7B7D"/>
    <w:rsid w:val="005C0F71"/>
    <w:rsid w:val="005C1948"/>
    <w:rsid w:val="005C245F"/>
    <w:rsid w:val="005C263C"/>
    <w:rsid w:val="005C2679"/>
    <w:rsid w:val="005C2ED4"/>
    <w:rsid w:val="005C41D4"/>
    <w:rsid w:val="005C4E25"/>
    <w:rsid w:val="005D0079"/>
    <w:rsid w:val="005D059A"/>
    <w:rsid w:val="005D07C5"/>
    <w:rsid w:val="005D1FF8"/>
    <w:rsid w:val="005D3AB9"/>
    <w:rsid w:val="005D4302"/>
    <w:rsid w:val="005D430F"/>
    <w:rsid w:val="005D5A20"/>
    <w:rsid w:val="005D786C"/>
    <w:rsid w:val="005E00E5"/>
    <w:rsid w:val="005E049F"/>
    <w:rsid w:val="005E3073"/>
    <w:rsid w:val="005E316A"/>
    <w:rsid w:val="005E5E1A"/>
    <w:rsid w:val="005E6C16"/>
    <w:rsid w:val="005F0108"/>
    <w:rsid w:val="005F0ECC"/>
    <w:rsid w:val="005F21A5"/>
    <w:rsid w:val="005F2470"/>
    <w:rsid w:val="005F28C6"/>
    <w:rsid w:val="005F3F16"/>
    <w:rsid w:val="005F52CC"/>
    <w:rsid w:val="005F5E6F"/>
    <w:rsid w:val="005F6BD4"/>
    <w:rsid w:val="005F7985"/>
    <w:rsid w:val="0060004D"/>
    <w:rsid w:val="00600CEB"/>
    <w:rsid w:val="00601DF1"/>
    <w:rsid w:val="00602A84"/>
    <w:rsid w:val="00602AA1"/>
    <w:rsid w:val="00603131"/>
    <w:rsid w:val="00604367"/>
    <w:rsid w:val="006044BE"/>
    <w:rsid w:val="0060475F"/>
    <w:rsid w:val="00604E80"/>
    <w:rsid w:val="006060C2"/>
    <w:rsid w:val="00606A26"/>
    <w:rsid w:val="00607D81"/>
    <w:rsid w:val="00610747"/>
    <w:rsid w:val="00610E03"/>
    <w:rsid w:val="00610E35"/>
    <w:rsid w:val="0061176E"/>
    <w:rsid w:val="006131CB"/>
    <w:rsid w:val="0061417F"/>
    <w:rsid w:val="00614CD1"/>
    <w:rsid w:val="0061567B"/>
    <w:rsid w:val="00615BEA"/>
    <w:rsid w:val="0062152A"/>
    <w:rsid w:val="00621E3C"/>
    <w:rsid w:val="00622FCB"/>
    <w:rsid w:val="00623583"/>
    <w:rsid w:val="00624049"/>
    <w:rsid w:val="0062462F"/>
    <w:rsid w:val="00624BA1"/>
    <w:rsid w:val="0062661B"/>
    <w:rsid w:val="0062796B"/>
    <w:rsid w:val="00630118"/>
    <w:rsid w:val="006310AE"/>
    <w:rsid w:val="00631762"/>
    <w:rsid w:val="00632196"/>
    <w:rsid w:val="00633BF2"/>
    <w:rsid w:val="00633F67"/>
    <w:rsid w:val="006345C3"/>
    <w:rsid w:val="00634F0E"/>
    <w:rsid w:val="006362F9"/>
    <w:rsid w:val="006369A9"/>
    <w:rsid w:val="00637065"/>
    <w:rsid w:val="006373CD"/>
    <w:rsid w:val="006403AC"/>
    <w:rsid w:val="0064165D"/>
    <w:rsid w:val="006433BD"/>
    <w:rsid w:val="00643784"/>
    <w:rsid w:val="00644186"/>
    <w:rsid w:val="00644A21"/>
    <w:rsid w:val="00644B4F"/>
    <w:rsid w:val="00644D21"/>
    <w:rsid w:val="00645C9F"/>
    <w:rsid w:val="00646305"/>
    <w:rsid w:val="00646A6C"/>
    <w:rsid w:val="006475E6"/>
    <w:rsid w:val="006508B9"/>
    <w:rsid w:val="00650CA1"/>
    <w:rsid w:val="00651854"/>
    <w:rsid w:val="006519F8"/>
    <w:rsid w:val="00653809"/>
    <w:rsid w:val="006539E8"/>
    <w:rsid w:val="00655E51"/>
    <w:rsid w:val="00656306"/>
    <w:rsid w:val="006565D8"/>
    <w:rsid w:val="00656649"/>
    <w:rsid w:val="00656B96"/>
    <w:rsid w:val="00656CF4"/>
    <w:rsid w:val="00656ED9"/>
    <w:rsid w:val="0065736B"/>
    <w:rsid w:val="00657AE5"/>
    <w:rsid w:val="00657C5F"/>
    <w:rsid w:val="006607D0"/>
    <w:rsid w:val="006619B0"/>
    <w:rsid w:val="00662012"/>
    <w:rsid w:val="00662543"/>
    <w:rsid w:val="006626D0"/>
    <w:rsid w:val="00663BF2"/>
    <w:rsid w:val="00663EAE"/>
    <w:rsid w:val="00664E8C"/>
    <w:rsid w:val="00665138"/>
    <w:rsid w:val="0066528A"/>
    <w:rsid w:val="00665F7C"/>
    <w:rsid w:val="0066699A"/>
    <w:rsid w:val="00666DFC"/>
    <w:rsid w:val="00666EBB"/>
    <w:rsid w:val="00667385"/>
    <w:rsid w:val="0066779E"/>
    <w:rsid w:val="00671104"/>
    <w:rsid w:val="00671D60"/>
    <w:rsid w:val="0067269D"/>
    <w:rsid w:val="00672988"/>
    <w:rsid w:val="00672C64"/>
    <w:rsid w:val="0067499F"/>
    <w:rsid w:val="00674E6A"/>
    <w:rsid w:val="00676A64"/>
    <w:rsid w:val="00676ACE"/>
    <w:rsid w:val="00677925"/>
    <w:rsid w:val="00677A6E"/>
    <w:rsid w:val="0068043E"/>
    <w:rsid w:val="00680F46"/>
    <w:rsid w:val="00681FDC"/>
    <w:rsid w:val="006829E8"/>
    <w:rsid w:val="00682B53"/>
    <w:rsid w:val="00682F27"/>
    <w:rsid w:val="006839E6"/>
    <w:rsid w:val="00683F93"/>
    <w:rsid w:val="00687B00"/>
    <w:rsid w:val="0069011A"/>
    <w:rsid w:val="00690E2E"/>
    <w:rsid w:val="006915D7"/>
    <w:rsid w:val="006927AC"/>
    <w:rsid w:val="00692814"/>
    <w:rsid w:val="006932E7"/>
    <w:rsid w:val="00693347"/>
    <w:rsid w:val="0069334C"/>
    <w:rsid w:val="00696D63"/>
    <w:rsid w:val="006A032F"/>
    <w:rsid w:val="006A1857"/>
    <w:rsid w:val="006A2075"/>
    <w:rsid w:val="006A41AE"/>
    <w:rsid w:val="006A4856"/>
    <w:rsid w:val="006A564B"/>
    <w:rsid w:val="006A7546"/>
    <w:rsid w:val="006A757C"/>
    <w:rsid w:val="006B08CF"/>
    <w:rsid w:val="006B0B29"/>
    <w:rsid w:val="006B0B90"/>
    <w:rsid w:val="006B10EA"/>
    <w:rsid w:val="006B1470"/>
    <w:rsid w:val="006B1545"/>
    <w:rsid w:val="006B2DA7"/>
    <w:rsid w:val="006B2F4D"/>
    <w:rsid w:val="006B3682"/>
    <w:rsid w:val="006B48CB"/>
    <w:rsid w:val="006B576F"/>
    <w:rsid w:val="006B5D9E"/>
    <w:rsid w:val="006B5EC9"/>
    <w:rsid w:val="006C08C5"/>
    <w:rsid w:val="006C11DD"/>
    <w:rsid w:val="006C1445"/>
    <w:rsid w:val="006C17A2"/>
    <w:rsid w:val="006C3959"/>
    <w:rsid w:val="006C3B36"/>
    <w:rsid w:val="006C43E6"/>
    <w:rsid w:val="006C4FC1"/>
    <w:rsid w:val="006C51A5"/>
    <w:rsid w:val="006C529D"/>
    <w:rsid w:val="006C7CC9"/>
    <w:rsid w:val="006C7D45"/>
    <w:rsid w:val="006D0E6B"/>
    <w:rsid w:val="006D1073"/>
    <w:rsid w:val="006D2146"/>
    <w:rsid w:val="006D632E"/>
    <w:rsid w:val="006E01FF"/>
    <w:rsid w:val="006E094A"/>
    <w:rsid w:val="006E0C97"/>
    <w:rsid w:val="006E12B1"/>
    <w:rsid w:val="006E13D1"/>
    <w:rsid w:val="006E283E"/>
    <w:rsid w:val="006E4D0C"/>
    <w:rsid w:val="006E4D1B"/>
    <w:rsid w:val="006E509A"/>
    <w:rsid w:val="006E5B78"/>
    <w:rsid w:val="006E6BA3"/>
    <w:rsid w:val="006F01EB"/>
    <w:rsid w:val="006F0D1F"/>
    <w:rsid w:val="006F1116"/>
    <w:rsid w:val="006F1206"/>
    <w:rsid w:val="006F3196"/>
    <w:rsid w:val="006F3489"/>
    <w:rsid w:val="006F3C54"/>
    <w:rsid w:val="006F4471"/>
    <w:rsid w:val="006F4ACC"/>
    <w:rsid w:val="006F4F99"/>
    <w:rsid w:val="006F5E64"/>
    <w:rsid w:val="006F60DE"/>
    <w:rsid w:val="006F6BBD"/>
    <w:rsid w:val="006F7914"/>
    <w:rsid w:val="006F7B8B"/>
    <w:rsid w:val="006F7E46"/>
    <w:rsid w:val="007002E4"/>
    <w:rsid w:val="00700AB4"/>
    <w:rsid w:val="00700E43"/>
    <w:rsid w:val="00700FCA"/>
    <w:rsid w:val="00701645"/>
    <w:rsid w:val="00702579"/>
    <w:rsid w:val="00702D5A"/>
    <w:rsid w:val="00702EF7"/>
    <w:rsid w:val="00703989"/>
    <w:rsid w:val="00703C41"/>
    <w:rsid w:val="007042E9"/>
    <w:rsid w:val="0071118B"/>
    <w:rsid w:val="007115D2"/>
    <w:rsid w:val="00711E13"/>
    <w:rsid w:val="00712EDA"/>
    <w:rsid w:val="007136D0"/>
    <w:rsid w:val="0071528E"/>
    <w:rsid w:val="007155A9"/>
    <w:rsid w:val="007158E1"/>
    <w:rsid w:val="00715AC5"/>
    <w:rsid w:val="0071705B"/>
    <w:rsid w:val="0071740A"/>
    <w:rsid w:val="00720505"/>
    <w:rsid w:val="007236A3"/>
    <w:rsid w:val="007239B6"/>
    <w:rsid w:val="0072490A"/>
    <w:rsid w:val="0072517D"/>
    <w:rsid w:val="00726878"/>
    <w:rsid w:val="00727C98"/>
    <w:rsid w:val="00730D02"/>
    <w:rsid w:val="0073124A"/>
    <w:rsid w:val="007317FF"/>
    <w:rsid w:val="00731B79"/>
    <w:rsid w:val="00733893"/>
    <w:rsid w:val="00734A05"/>
    <w:rsid w:val="00735C6F"/>
    <w:rsid w:val="00735F4F"/>
    <w:rsid w:val="007366CF"/>
    <w:rsid w:val="007408D5"/>
    <w:rsid w:val="00741C59"/>
    <w:rsid w:val="00742422"/>
    <w:rsid w:val="00742B44"/>
    <w:rsid w:val="00745540"/>
    <w:rsid w:val="0074655A"/>
    <w:rsid w:val="007469B7"/>
    <w:rsid w:val="00753261"/>
    <w:rsid w:val="00753BB5"/>
    <w:rsid w:val="007547B2"/>
    <w:rsid w:val="0075660B"/>
    <w:rsid w:val="00756832"/>
    <w:rsid w:val="007618A3"/>
    <w:rsid w:val="0076266E"/>
    <w:rsid w:val="007626D0"/>
    <w:rsid w:val="007651CA"/>
    <w:rsid w:val="00767519"/>
    <w:rsid w:val="00767EE3"/>
    <w:rsid w:val="007704E1"/>
    <w:rsid w:val="00771015"/>
    <w:rsid w:val="0077120B"/>
    <w:rsid w:val="007719F8"/>
    <w:rsid w:val="00772569"/>
    <w:rsid w:val="00772BF0"/>
    <w:rsid w:val="00772E8C"/>
    <w:rsid w:val="007730D8"/>
    <w:rsid w:val="007736D3"/>
    <w:rsid w:val="00773889"/>
    <w:rsid w:val="00773B54"/>
    <w:rsid w:val="00774502"/>
    <w:rsid w:val="0077500F"/>
    <w:rsid w:val="0077548E"/>
    <w:rsid w:val="00776388"/>
    <w:rsid w:val="00777315"/>
    <w:rsid w:val="0077767A"/>
    <w:rsid w:val="007802E4"/>
    <w:rsid w:val="00780919"/>
    <w:rsid w:val="007826C8"/>
    <w:rsid w:val="00782972"/>
    <w:rsid w:val="00784190"/>
    <w:rsid w:val="0078457B"/>
    <w:rsid w:val="00784756"/>
    <w:rsid w:val="0078539D"/>
    <w:rsid w:val="007856C1"/>
    <w:rsid w:val="00786CC4"/>
    <w:rsid w:val="00787051"/>
    <w:rsid w:val="0079018D"/>
    <w:rsid w:val="00790F39"/>
    <w:rsid w:val="00791A00"/>
    <w:rsid w:val="00791BF8"/>
    <w:rsid w:val="00791DBA"/>
    <w:rsid w:val="00792CEE"/>
    <w:rsid w:val="00794C56"/>
    <w:rsid w:val="00794E92"/>
    <w:rsid w:val="0079656A"/>
    <w:rsid w:val="00796971"/>
    <w:rsid w:val="00796D86"/>
    <w:rsid w:val="00796F15"/>
    <w:rsid w:val="007A138F"/>
    <w:rsid w:val="007A1640"/>
    <w:rsid w:val="007A18BA"/>
    <w:rsid w:val="007A2559"/>
    <w:rsid w:val="007A36A9"/>
    <w:rsid w:val="007A39DF"/>
    <w:rsid w:val="007A43ED"/>
    <w:rsid w:val="007A4997"/>
    <w:rsid w:val="007A4BDD"/>
    <w:rsid w:val="007A4C98"/>
    <w:rsid w:val="007A72EE"/>
    <w:rsid w:val="007B0352"/>
    <w:rsid w:val="007B0397"/>
    <w:rsid w:val="007B3502"/>
    <w:rsid w:val="007B44ED"/>
    <w:rsid w:val="007B491A"/>
    <w:rsid w:val="007B4E9F"/>
    <w:rsid w:val="007B5370"/>
    <w:rsid w:val="007B61F5"/>
    <w:rsid w:val="007B6335"/>
    <w:rsid w:val="007B63FA"/>
    <w:rsid w:val="007B73B3"/>
    <w:rsid w:val="007B7496"/>
    <w:rsid w:val="007B7AF5"/>
    <w:rsid w:val="007C0802"/>
    <w:rsid w:val="007C12BE"/>
    <w:rsid w:val="007C1B2E"/>
    <w:rsid w:val="007C2739"/>
    <w:rsid w:val="007C4B0F"/>
    <w:rsid w:val="007C4DAD"/>
    <w:rsid w:val="007C4E9F"/>
    <w:rsid w:val="007C501D"/>
    <w:rsid w:val="007C5830"/>
    <w:rsid w:val="007C5DB8"/>
    <w:rsid w:val="007C6CA2"/>
    <w:rsid w:val="007D05B2"/>
    <w:rsid w:val="007D0C44"/>
    <w:rsid w:val="007D1972"/>
    <w:rsid w:val="007D1F33"/>
    <w:rsid w:val="007D2146"/>
    <w:rsid w:val="007D24BF"/>
    <w:rsid w:val="007D3307"/>
    <w:rsid w:val="007D33DA"/>
    <w:rsid w:val="007D432A"/>
    <w:rsid w:val="007D5E27"/>
    <w:rsid w:val="007D6F64"/>
    <w:rsid w:val="007E25AB"/>
    <w:rsid w:val="007E2C70"/>
    <w:rsid w:val="007E331D"/>
    <w:rsid w:val="007E3C7B"/>
    <w:rsid w:val="007E5A7A"/>
    <w:rsid w:val="007E5AC2"/>
    <w:rsid w:val="007E6999"/>
    <w:rsid w:val="007E79C5"/>
    <w:rsid w:val="007F0036"/>
    <w:rsid w:val="007F0CDC"/>
    <w:rsid w:val="007F143A"/>
    <w:rsid w:val="007F2845"/>
    <w:rsid w:val="007F2884"/>
    <w:rsid w:val="007F41A0"/>
    <w:rsid w:val="007F43BC"/>
    <w:rsid w:val="007F44D7"/>
    <w:rsid w:val="007F4740"/>
    <w:rsid w:val="007F5CEB"/>
    <w:rsid w:val="00800229"/>
    <w:rsid w:val="008006C6"/>
    <w:rsid w:val="00800C52"/>
    <w:rsid w:val="00800DC4"/>
    <w:rsid w:val="0080153E"/>
    <w:rsid w:val="0080742D"/>
    <w:rsid w:val="008100AC"/>
    <w:rsid w:val="0081151E"/>
    <w:rsid w:val="00812498"/>
    <w:rsid w:val="0081263E"/>
    <w:rsid w:val="008127E6"/>
    <w:rsid w:val="0081336E"/>
    <w:rsid w:val="00813928"/>
    <w:rsid w:val="00814057"/>
    <w:rsid w:val="00820DC7"/>
    <w:rsid w:val="00820FFB"/>
    <w:rsid w:val="00821698"/>
    <w:rsid w:val="008221FE"/>
    <w:rsid w:val="00822BF5"/>
    <w:rsid w:val="00824894"/>
    <w:rsid w:val="00824F51"/>
    <w:rsid w:val="00825366"/>
    <w:rsid w:val="00826C7B"/>
    <w:rsid w:val="00826DD9"/>
    <w:rsid w:val="00826E01"/>
    <w:rsid w:val="008277A8"/>
    <w:rsid w:val="008278B6"/>
    <w:rsid w:val="008307ED"/>
    <w:rsid w:val="00832918"/>
    <w:rsid w:val="0083350F"/>
    <w:rsid w:val="00834358"/>
    <w:rsid w:val="008346BD"/>
    <w:rsid w:val="00835FB4"/>
    <w:rsid w:val="00836843"/>
    <w:rsid w:val="00836B7A"/>
    <w:rsid w:val="008409AA"/>
    <w:rsid w:val="00840FB8"/>
    <w:rsid w:val="00842529"/>
    <w:rsid w:val="00843316"/>
    <w:rsid w:val="0084353E"/>
    <w:rsid w:val="00843A7A"/>
    <w:rsid w:val="008447F5"/>
    <w:rsid w:val="00846292"/>
    <w:rsid w:val="00847885"/>
    <w:rsid w:val="00850413"/>
    <w:rsid w:val="008506E1"/>
    <w:rsid w:val="008515EE"/>
    <w:rsid w:val="008517E9"/>
    <w:rsid w:val="008528D3"/>
    <w:rsid w:val="00853111"/>
    <w:rsid w:val="00853C8B"/>
    <w:rsid w:val="00854553"/>
    <w:rsid w:val="00855B86"/>
    <w:rsid w:val="008565F1"/>
    <w:rsid w:val="00857774"/>
    <w:rsid w:val="00857984"/>
    <w:rsid w:val="0086042D"/>
    <w:rsid w:val="00860874"/>
    <w:rsid w:val="00862008"/>
    <w:rsid w:val="00862720"/>
    <w:rsid w:val="008628C8"/>
    <w:rsid w:val="00862AC5"/>
    <w:rsid w:val="00862B2A"/>
    <w:rsid w:val="008630B9"/>
    <w:rsid w:val="00863F37"/>
    <w:rsid w:val="0086406B"/>
    <w:rsid w:val="008643CF"/>
    <w:rsid w:val="00864C8C"/>
    <w:rsid w:val="00865264"/>
    <w:rsid w:val="00866A11"/>
    <w:rsid w:val="00866B61"/>
    <w:rsid w:val="00867651"/>
    <w:rsid w:val="00870D04"/>
    <w:rsid w:val="0087121B"/>
    <w:rsid w:val="008714B6"/>
    <w:rsid w:val="008714DB"/>
    <w:rsid w:val="008743F3"/>
    <w:rsid w:val="0087444A"/>
    <w:rsid w:val="00874B17"/>
    <w:rsid w:val="00875139"/>
    <w:rsid w:val="00875410"/>
    <w:rsid w:val="00875659"/>
    <w:rsid w:val="00877C2D"/>
    <w:rsid w:val="008808D5"/>
    <w:rsid w:val="00880EDF"/>
    <w:rsid w:val="00881B9F"/>
    <w:rsid w:val="00881D4F"/>
    <w:rsid w:val="00882DE6"/>
    <w:rsid w:val="00883D4D"/>
    <w:rsid w:val="0088444E"/>
    <w:rsid w:val="0088448E"/>
    <w:rsid w:val="00884B59"/>
    <w:rsid w:val="008850BA"/>
    <w:rsid w:val="008857F2"/>
    <w:rsid w:val="0088583D"/>
    <w:rsid w:val="00885876"/>
    <w:rsid w:val="00886185"/>
    <w:rsid w:val="008861D9"/>
    <w:rsid w:val="0088638C"/>
    <w:rsid w:val="00886EDF"/>
    <w:rsid w:val="00887CEE"/>
    <w:rsid w:val="008908E5"/>
    <w:rsid w:val="00891216"/>
    <w:rsid w:val="00891F81"/>
    <w:rsid w:val="00892A94"/>
    <w:rsid w:val="00894FDC"/>
    <w:rsid w:val="008960BE"/>
    <w:rsid w:val="008A1094"/>
    <w:rsid w:val="008A16F9"/>
    <w:rsid w:val="008A1D3E"/>
    <w:rsid w:val="008A2F08"/>
    <w:rsid w:val="008A4B16"/>
    <w:rsid w:val="008A4D63"/>
    <w:rsid w:val="008A52D1"/>
    <w:rsid w:val="008A6D62"/>
    <w:rsid w:val="008B13E9"/>
    <w:rsid w:val="008B3B51"/>
    <w:rsid w:val="008B4057"/>
    <w:rsid w:val="008B40E6"/>
    <w:rsid w:val="008B4145"/>
    <w:rsid w:val="008B4CAC"/>
    <w:rsid w:val="008B5290"/>
    <w:rsid w:val="008B68D1"/>
    <w:rsid w:val="008B6AFC"/>
    <w:rsid w:val="008B6C00"/>
    <w:rsid w:val="008C2B64"/>
    <w:rsid w:val="008C2CFD"/>
    <w:rsid w:val="008C3B90"/>
    <w:rsid w:val="008C3E9C"/>
    <w:rsid w:val="008C57D6"/>
    <w:rsid w:val="008C603A"/>
    <w:rsid w:val="008C71C8"/>
    <w:rsid w:val="008D167D"/>
    <w:rsid w:val="008D261F"/>
    <w:rsid w:val="008D2B53"/>
    <w:rsid w:val="008D353F"/>
    <w:rsid w:val="008D3640"/>
    <w:rsid w:val="008D492A"/>
    <w:rsid w:val="008D4B58"/>
    <w:rsid w:val="008D4B8A"/>
    <w:rsid w:val="008D6541"/>
    <w:rsid w:val="008D7D7B"/>
    <w:rsid w:val="008E0F52"/>
    <w:rsid w:val="008E183F"/>
    <w:rsid w:val="008E2316"/>
    <w:rsid w:val="008E26FF"/>
    <w:rsid w:val="008E34BE"/>
    <w:rsid w:val="008E42F4"/>
    <w:rsid w:val="008E5307"/>
    <w:rsid w:val="008E5657"/>
    <w:rsid w:val="008E5E51"/>
    <w:rsid w:val="008E721F"/>
    <w:rsid w:val="008E7D63"/>
    <w:rsid w:val="008F00DB"/>
    <w:rsid w:val="008F08E3"/>
    <w:rsid w:val="008F110E"/>
    <w:rsid w:val="008F1264"/>
    <w:rsid w:val="008F47C6"/>
    <w:rsid w:val="008F5948"/>
    <w:rsid w:val="009006A2"/>
    <w:rsid w:val="009007A5"/>
    <w:rsid w:val="0090102B"/>
    <w:rsid w:val="00901448"/>
    <w:rsid w:val="00901CBE"/>
    <w:rsid w:val="00901E29"/>
    <w:rsid w:val="009036BC"/>
    <w:rsid w:val="0090425F"/>
    <w:rsid w:val="00905C47"/>
    <w:rsid w:val="00906379"/>
    <w:rsid w:val="0090638B"/>
    <w:rsid w:val="00906393"/>
    <w:rsid w:val="009101EA"/>
    <w:rsid w:val="009106FC"/>
    <w:rsid w:val="0091090F"/>
    <w:rsid w:val="00911896"/>
    <w:rsid w:val="009118BB"/>
    <w:rsid w:val="0091191F"/>
    <w:rsid w:val="00913F7F"/>
    <w:rsid w:val="00915B81"/>
    <w:rsid w:val="00915D6B"/>
    <w:rsid w:val="009160DF"/>
    <w:rsid w:val="009162C7"/>
    <w:rsid w:val="00916EC2"/>
    <w:rsid w:val="00920AFD"/>
    <w:rsid w:val="009213BD"/>
    <w:rsid w:val="00924627"/>
    <w:rsid w:val="009249EB"/>
    <w:rsid w:val="009250A8"/>
    <w:rsid w:val="009251C8"/>
    <w:rsid w:val="00925BE6"/>
    <w:rsid w:val="00926F61"/>
    <w:rsid w:val="009277A2"/>
    <w:rsid w:val="00930879"/>
    <w:rsid w:val="0093123D"/>
    <w:rsid w:val="00933040"/>
    <w:rsid w:val="009330E9"/>
    <w:rsid w:val="00935D15"/>
    <w:rsid w:val="009411FB"/>
    <w:rsid w:val="009414A9"/>
    <w:rsid w:val="00941B71"/>
    <w:rsid w:val="009421AD"/>
    <w:rsid w:val="0094221C"/>
    <w:rsid w:val="009422A9"/>
    <w:rsid w:val="0094262D"/>
    <w:rsid w:val="0094409C"/>
    <w:rsid w:val="00944159"/>
    <w:rsid w:val="009444D9"/>
    <w:rsid w:val="009449B2"/>
    <w:rsid w:val="00944A82"/>
    <w:rsid w:val="0094601F"/>
    <w:rsid w:val="00946A9F"/>
    <w:rsid w:val="00946C4D"/>
    <w:rsid w:val="00950387"/>
    <w:rsid w:val="0095285B"/>
    <w:rsid w:val="00953099"/>
    <w:rsid w:val="00953FE9"/>
    <w:rsid w:val="009544CF"/>
    <w:rsid w:val="0095481C"/>
    <w:rsid w:val="0095569E"/>
    <w:rsid w:val="009567E6"/>
    <w:rsid w:val="00957076"/>
    <w:rsid w:val="00957132"/>
    <w:rsid w:val="009576FD"/>
    <w:rsid w:val="00957709"/>
    <w:rsid w:val="009578EB"/>
    <w:rsid w:val="009578FF"/>
    <w:rsid w:val="00960446"/>
    <w:rsid w:val="009610ED"/>
    <w:rsid w:val="00961DDB"/>
    <w:rsid w:val="00963085"/>
    <w:rsid w:val="009633BB"/>
    <w:rsid w:val="0096485F"/>
    <w:rsid w:val="00966B46"/>
    <w:rsid w:val="0096726D"/>
    <w:rsid w:val="00967354"/>
    <w:rsid w:val="00971592"/>
    <w:rsid w:val="00971DDF"/>
    <w:rsid w:val="009731D6"/>
    <w:rsid w:val="00974746"/>
    <w:rsid w:val="00974C40"/>
    <w:rsid w:val="00975119"/>
    <w:rsid w:val="00976C17"/>
    <w:rsid w:val="00976F04"/>
    <w:rsid w:val="009775E9"/>
    <w:rsid w:val="009777F4"/>
    <w:rsid w:val="00977AD8"/>
    <w:rsid w:val="00980A10"/>
    <w:rsid w:val="00981130"/>
    <w:rsid w:val="00983038"/>
    <w:rsid w:val="00983A9E"/>
    <w:rsid w:val="00983D46"/>
    <w:rsid w:val="00983DCA"/>
    <w:rsid w:val="00985EF7"/>
    <w:rsid w:val="00986396"/>
    <w:rsid w:val="00986CF9"/>
    <w:rsid w:val="00986E6F"/>
    <w:rsid w:val="00987416"/>
    <w:rsid w:val="009907E2"/>
    <w:rsid w:val="00990C0E"/>
    <w:rsid w:val="00990D75"/>
    <w:rsid w:val="00991093"/>
    <w:rsid w:val="0099163B"/>
    <w:rsid w:val="00992343"/>
    <w:rsid w:val="00992851"/>
    <w:rsid w:val="00993853"/>
    <w:rsid w:val="00996306"/>
    <w:rsid w:val="00996744"/>
    <w:rsid w:val="009967DA"/>
    <w:rsid w:val="00997CF4"/>
    <w:rsid w:val="009A1169"/>
    <w:rsid w:val="009A1AAC"/>
    <w:rsid w:val="009A3094"/>
    <w:rsid w:val="009A3789"/>
    <w:rsid w:val="009A4818"/>
    <w:rsid w:val="009A4860"/>
    <w:rsid w:val="009A6919"/>
    <w:rsid w:val="009A6AC7"/>
    <w:rsid w:val="009A6CC2"/>
    <w:rsid w:val="009A7831"/>
    <w:rsid w:val="009B0408"/>
    <w:rsid w:val="009B0843"/>
    <w:rsid w:val="009B1E47"/>
    <w:rsid w:val="009B2A54"/>
    <w:rsid w:val="009B2CED"/>
    <w:rsid w:val="009B3338"/>
    <w:rsid w:val="009B345D"/>
    <w:rsid w:val="009B414C"/>
    <w:rsid w:val="009B5A4D"/>
    <w:rsid w:val="009B7321"/>
    <w:rsid w:val="009B7A72"/>
    <w:rsid w:val="009B7BB8"/>
    <w:rsid w:val="009C126A"/>
    <w:rsid w:val="009C1D4C"/>
    <w:rsid w:val="009C2DD2"/>
    <w:rsid w:val="009C3794"/>
    <w:rsid w:val="009C441F"/>
    <w:rsid w:val="009C4A07"/>
    <w:rsid w:val="009C4B8E"/>
    <w:rsid w:val="009C51D5"/>
    <w:rsid w:val="009C543C"/>
    <w:rsid w:val="009C599A"/>
    <w:rsid w:val="009C650E"/>
    <w:rsid w:val="009C70DB"/>
    <w:rsid w:val="009D0E75"/>
    <w:rsid w:val="009D19BC"/>
    <w:rsid w:val="009D2348"/>
    <w:rsid w:val="009D2F0C"/>
    <w:rsid w:val="009D3578"/>
    <w:rsid w:val="009D3A5F"/>
    <w:rsid w:val="009D5193"/>
    <w:rsid w:val="009D5C32"/>
    <w:rsid w:val="009D6472"/>
    <w:rsid w:val="009D79F4"/>
    <w:rsid w:val="009E001F"/>
    <w:rsid w:val="009E0F34"/>
    <w:rsid w:val="009E31A3"/>
    <w:rsid w:val="009E3CD1"/>
    <w:rsid w:val="009E5113"/>
    <w:rsid w:val="009E5988"/>
    <w:rsid w:val="009E5AF5"/>
    <w:rsid w:val="009E5EB5"/>
    <w:rsid w:val="009E623F"/>
    <w:rsid w:val="009E74F0"/>
    <w:rsid w:val="009F0768"/>
    <w:rsid w:val="009F12F3"/>
    <w:rsid w:val="009F2A71"/>
    <w:rsid w:val="009F7867"/>
    <w:rsid w:val="009F7D66"/>
    <w:rsid w:val="00A00BD2"/>
    <w:rsid w:val="00A00CA5"/>
    <w:rsid w:val="00A00E56"/>
    <w:rsid w:val="00A027F3"/>
    <w:rsid w:val="00A02FAD"/>
    <w:rsid w:val="00A032A2"/>
    <w:rsid w:val="00A03978"/>
    <w:rsid w:val="00A04782"/>
    <w:rsid w:val="00A05DF3"/>
    <w:rsid w:val="00A0670C"/>
    <w:rsid w:val="00A06C09"/>
    <w:rsid w:val="00A07E08"/>
    <w:rsid w:val="00A108F6"/>
    <w:rsid w:val="00A12798"/>
    <w:rsid w:val="00A150AB"/>
    <w:rsid w:val="00A153BE"/>
    <w:rsid w:val="00A15DEE"/>
    <w:rsid w:val="00A167B5"/>
    <w:rsid w:val="00A168A6"/>
    <w:rsid w:val="00A16DBE"/>
    <w:rsid w:val="00A17C4F"/>
    <w:rsid w:val="00A200D5"/>
    <w:rsid w:val="00A20653"/>
    <w:rsid w:val="00A20A39"/>
    <w:rsid w:val="00A23069"/>
    <w:rsid w:val="00A238BD"/>
    <w:rsid w:val="00A243E4"/>
    <w:rsid w:val="00A2459D"/>
    <w:rsid w:val="00A24E23"/>
    <w:rsid w:val="00A25F05"/>
    <w:rsid w:val="00A272F3"/>
    <w:rsid w:val="00A311AE"/>
    <w:rsid w:val="00A312A6"/>
    <w:rsid w:val="00A3130E"/>
    <w:rsid w:val="00A324CF"/>
    <w:rsid w:val="00A32E8B"/>
    <w:rsid w:val="00A32ED6"/>
    <w:rsid w:val="00A344A5"/>
    <w:rsid w:val="00A34630"/>
    <w:rsid w:val="00A346C3"/>
    <w:rsid w:val="00A34A89"/>
    <w:rsid w:val="00A35730"/>
    <w:rsid w:val="00A37381"/>
    <w:rsid w:val="00A42A88"/>
    <w:rsid w:val="00A42D07"/>
    <w:rsid w:val="00A43D85"/>
    <w:rsid w:val="00A450C0"/>
    <w:rsid w:val="00A45468"/>
    <w:rsid w:val="00A455F8"/>
    <w:rsid w:val="00A459BA"/>
    <w:rsid w:val="00A4791B"/>
    <w:rsid w:val="00A503E3"/>
    <w:rsid w:val="00A50679"/>
    <w:rsid w:val="00A50A48"/>
    <w:rsid w:val="00A51242"/>
    <w:rsid w:val="00A51522"/>
    <w:rsid w:val="00A51573"/>
    <w:rsid w:val="00A51A5E"/>
    <w:rsid w:val="00A52895"/>
    <w:rsid w:val="00A53DA0"/>
    <w:rsid w:val="00A56C4B"/>
    <w:rsid w:val="00A5765D"/>
    <w:rsid w:val="00A6046A"/>
    <w:rsid w:val="00A607CB"/>
    <w:rsid w:val="00A60FF0"/>
    <w:rsid w:val="00A60FFE"/>
    <w:rsid w:val="00A6351F"/>
    <w:rsid w:val="00A63EF0"/>
    <w:rsid w:val="00A643E0"/>
    <w:rsid w:val="00A65A70"/>
    <w:rsid w:val="00A66F36"/>
    <w:rsid w:val="00A676D9"/>
    <w:rsid w:val="00A67EFC"/>
    <w:rsid w:val="00A7031E"/>
    <w:rsid w:val="00A70759"/>
    <w:rsid w:val="00A71140"/>
    <w:rsid w:val="00A72B7B"/>
    <w:rsid w:val="00A74692"/>
    <w:rsid w:val="00A7618B"/>
    <w:rsid w:val="00A7640B"/>
    <w:rsid w:val="00A77373"/>
    <w:rsid w:val="00A7778B"/>
    <w:rsid w:val="00A803BC"/>
    <w:rsid w:val="00A80969"/>
    <w:rsid w:val="00A80C68"/>
    <w:rsid w:val="00A81910"/>
    <w:rsid w:val="00A84805"/>
    <w:rsid w:val="00A858C5"/>
    <w:rsid w:val="00A866A3"/>
    <w:rsid w:val="00A86EA7"/>
    <w:rsid w:val="00A91244"/>
    <w:rsid w:val="00A91AA1"/>
    <w:rsid w:val="00A92776"/>
    <w:rsid w:val="00A93181"/>
    <w:rsid w:val="00A938E6"/>
    <w:rsid w:val="00A93CCF"/>
    <w:rsid w:val="00A95BD5"/>
    <w:rsid w:val="00A95BFA"/>
    <w:rsid w:val="00A96F78"/>
    <w:rsid w:val="00AA1087"/>
    <w:rsid w:val="00AA1592"/>
    <w:rsid w:val="00AA25A9"/>
    <w:rsid w:val="00AA26D9"/>
    <w:rsid w:val="00AA27F5"/>
    <w:rsid w:val="00AA3DEA"/>
    <w:rsid w:val="00AA4AE2"/>
    <w:rsid w:val="00AA51AD"/>
    <w:rsid w:val="00AA591E"/>
    <w:rsid w:val="00AA65C9"/>
    <w:rsid w:val="00AB0A32"/>
    <w:rsid w:val="00AB0E56"/>
    <w:rsid w:val="00AB3A15"/>
    <w:rsid w:val="00AB48C6"/>
    <w:rsid w:val="00AB4ECC"/>
    <w:rsid w:val="00AB6601"/>
    <w:rsid w:val="00AB674E"/>
    <w:rsid w:val="00AB6D79"/>
    <w:rsid w:val="00AB6F48"/>
    <w:rsid w:val="00AB7806"/>
    <w:rsid w:val="00AC02C1"/>
    <w:rsid w:val="00AC0AB6"/>
    <w:rsid w:val="00AC0C71"/>
    <w:rsid w:val="00AC10AD"/>
    <w:rsid w:val="00AC1E55"/>
    <w:rsid w:val="00AC429F"/>
    <w:rsid w:val="00AC5F27"/>
    <w:rsid w:val="00AC60B4"/>
    <w:rsid w:val="00AD00C5"/>
    <w:rsid w:val="00AD085F"/>
    <w:rsid w:val="00AD165F"/>
    <w:rsid w:val="00AD2794"/>
    <w:rsid w:val="00AD2DC5"/>
    <w:rsid w:val="00AD3455"/>
    <w:rsid w:val="00AD3CAD"/>
    <w:rsid w:val="00AD61F5"/>
    <w:rsid w:val="00AD69FF"/>
    <w:rsid w:val="00AD6F67"/>
    <w:rsid w:val="00AD702B"/>
    <w:rsid w:val="00AD72E6"/>
    <w:rsid w:val="00AD7311"/>
    <w:rsid w:val="00AD7C95"/>
    <w:rsid w:val="00AE0960"/>
    <w:rsid w:val="00AE1257"/>
    <w:rsid w:val="00AE1498"/>
    <w:rsid w:val="00AE3DE1"/>
    <w:rsid w:val="00AE44AC"/>
    <w:rsid w:val="00AE6E76"/>
    <w:rsid w:val="00AE7527"/>
    <w:rsid w:val="00AF03CF"/>
    <w:rsid w:val="00AF259C"/>
    <w:rsid w:val="00AF26B0"/>
    <w:rsid w:val="00AF2D54"/>
    <w:rsid w:val="00AF3458"/>
    <w:rsid w:val="00AF3F7B"/>
    <w:rsid w:val="00AF42B4"/>
    <w:rsid w:val="00AF4B8A"/>
    <w:rsid w:val="00AF4F1B"/>
    <w:rsid w:val="00AF53BE"/>
    <w:rsid w:val="00AF5D1E"/>
    <w:rsid w:val="00AF5EC6"/>
    <w:rsid w:val="00AF6E8A"/>
    <w:rsid w:val="00AF71D9"/>
    <w:rsid w:val="00AF7213"/>
    <w:rsid w:val="00AF7D92"/>
    <w:rsid w:val="00B011CC"/>
    <w:rsid w:val="00B01A0B"/>
    <w:rsid w:val="00B04048"/>
    <w:rsid w:val="00B04F3D"/>
    <w:rsid w:val="00B0519F"/>
    <w:rsid w:val="00B056DF"/>
    <w:rsid w:val="00B05702"/>
    <w:rsid w:val="00B05FA6"/>
    <w:rsid w:val="00B0606F"/>
    <w:rsid w:val="00B06835"/>
    <w:rsid w:val="00B06DD9"/>
    <w:rsid w:val="00B07CD6"/>
    <w:rsid w:val="00B07E52"/>
    <w:rsid w:val="00B07F7F"/>
    <w:rsid w:val="00B10010"/>
    <w:rsid w:val="00B11775"/>
    <w:rsid w:val="00B11AFC"/>
    <w:rsid w:val="00B123B5"/>
    <w:rsid w:val="00B12660"/>
    <w:rsid w:val="00B1302D"/>
    <w:rsid w:val="00B13B77"/>
    <w:rsid w:val="00B149A6"/>
    <w:rsid w:val="00B14DC2"/>
    <w:rsid w:val="00B1513F"/>
    <w:rsid w:val="00B15B31"/>
    <w:rsid w:val="00B15B89"/>
    <w:rsid w:val="00B165B7"/>
    <w:rsid w:val="00B1746F"/>
    <w:rsid w:val="00B17EA8"/>
    <w:rsid w:val="00B20725"/>
    <w:rsid w:val="00B20B94"/>
    <w:rsid w:val="00B21023"/>
    <w:rsid w:val="00B22CD3"/>
    <w:rsid w:val="00B2506B"/>
    <w:rsid w:val="00B25454"/>
    <w:rsid w:val="00B2628E"/>
    <w:rsid w:val="00B266B0"/>
    <w:rsid w:val="00B26E28"/>
    <w:rsid w:val="00B27921"/>
    <w:rsid w:val="00B3000E"/>
    <w:rsid w:val="00B30B17"/>
    <w:rsid w:val="00B313D3"/>
    <w:rsid w:val="00B31787"/>
    <w:rsid w:val="00B326A8"/>
    <w:rsid w:val="00B329EB"/>
    <w:rsid w:val="00B33330"/>
    <w:rsid w:val="00B33508"/>
    <w:rsid w:val="00B3377E"/>
    <w:rsid w:val="00B35BC9"/>
    <w:rsid w:val="00B35DA4"/>
    <w:rsid w:val="00B36B65"/>
    <w:rsid w:val="00B40A96"/>
    <w:rsid w:val="00B40DC9"/>
    <w:rsid w:val="00B4184B"/>
    <w:rsid w:val="00B422A7"/>
    <w:rsid w:val="00B42A32"/>
    <w:rsid w:val="00B42D9C"/>
    <w:rsid w:val="00B42FA6"/>
    <w:rsid w:val="00B43997"/>
    <w:rsid w:val="00B4399E"/>
    <w:rsid w:val="00B43A16"/>
    <w:rsid w:val="00B45C10"/>
    <w:rsid w:val="00B45CE1"/>
    <w:rsid w:val="00B46A75"/>
    <w:rsid w:val="00B46FB7"/>
    <w:rsid w:val="00B500CD"/>
    <w:rsid w:val="00B5239C"/>
    <w:rsid w:val="00B52FD2"/>
    <w:rsid w:val="00B53162"/>
    <w:rsid w:val="00B53893"/>
    <w:rsid w:val="00B53E5A"/>
    <w:rsid w:val="00B548C2"/>
    <w:rsid w:val="00B55428"/>
    <w:rsid w:val="00B55E5C"/>
    <w:rsid w:val="00B570BF"/>
    <w:rsid w:val="00B57144"/>
    <w:rsid w:val="00B5729A"/>
    <w:rsid w:val="00B61188"/>
    <w:rsid w:val="00B63337"/>
    <w:rsid w:val="00B6369F"/>
    <w:rsid w:val="00B639D7"/>
    <w:rsid w:val="00B644CF"/>
    <w:rsid w:val="00B64AA7"/>
    <w:rsid w:val="00B66594"/>
    <w:rsid w:val="00B67805"/>
    <w:rsid w:val="00B70A76"/>
    <w:rsid w:val="00B721CD"/>
    <w:rsid w:val="00B7267A"/>
    <w:rsid w:val="00B726FF"/>
    <w:rsid w:val="00B7291A"/>
    <w:rsid w:val="00B72AA4"/>
    <w:rsid w:val="00B75454"/>
    <w:rsid w:val="00B76BCD"/>
    <w:rsid w:val="00B76EE9"/>
    <w:rsid w:val="00B77880"/>
    <w:rsid w:val="00B77FD9"/>
    <w:rsid w:val="00B80D90"/>
    <w:rsid w:val="00B82537"/>
    <w:rsid w:val="00B82613"/>
    <w:rsid w:val="00B828B5"/>
    <w:rsid w:val="00B83B0D"/>
    <w:rsid w:val="00B84E9C"/>
    <w:rsid w:val="00B85522"/>
    <w:rsid w:val="00B85D76"/>
    <w:rsid w:val="00B869DF"/>
    <w:rsid w:val="00B90E2A"/>
    <w:rsid w:val="00B90F2A"/>
    <w:rsid w:val="00B9198D"/>
    <w:rsid w:val="00B92C85"/>
    <w:rsid w:val="00B93008"/>
    <w:rsid w:val="00B9406D"/>
    <w:rsid w:val="00B944C0"/>
    <w:rsid w:val="00B94BA7"/>
    <w:rsid w:val="00B94BE9"/>
    <w:rsid w:val="00B94E0E"/>
    <w:rsid w:val="00B95343"/>
    <w:rsid w:val="00B958AF"/>
    <w:rsid w:val="00B96010"/>
    <w:rsid w:val="00B96201"/>
    <w:rsid w:val="00B97CA3"/>
    <w:rsid w:val="00BA143E"/>
    <w:rsid w:val="00BA2275"/>
    <w:rsid w:val="00BA2E84"/>
    <w:rsid w:val="00BA3479"/>
    <w:rsid w:val="00BA3D7B"/>
    <w:rsid w:val="00BA76A9"/>
    <w:rsid w:val="00BA79A3"/>
    <w:rsid w:val="00BB22A6"/>
    <w:rsid w:val="00BB3E2B"/>
    <w:rsid w:val="00BB5043"/>
    <w:rsid w:val="00BB5D1C"/>
    <w:rsid w:val="00BB6552"/>
    <w:rsid w:val="00BB6B9B"/>
    <w:rsid w:val="00BB754F"/>
    <w:rsid w:val="00BC07D4"/>
    <w:rsid w:val="00BC0A5D"/>
    <w:rsid w:val="00BC0BE3"/>
    <w:rsid w:val="00BC106B"/>
    <w:rsid w:val="00BC1522"/>
    <w:rsid w:val="00BC1AD9"/>
    <w:rsid w:val="00BC32E7"/>
    <w:rsid w:val="00BC478E"/>
    <w:rsid w:val="00BC4958"/>
    <w:rsid w:val="00BC58B9"/>
    <w:rsid w:val="00BC6A49"/>
    <w:rsid w:val="00BC746D"/>
    <w:rsid w:val="00BD0E81"/>
    <w:rsid w:val="00BD1A87"/>
    <w:rsid w:val="00BD3E68"/>
    <w:rsid w:val="00BD598A"/>
    <w:rsid w:val="00BD692E"/>
    <w:rsid w:val="00BD75B4"/>
    <w:rsid w:val="00BD7BFE"/>
    <w:rsid w:val="00BD7D14"/>
    <w:rsid w:val="00BE02B4"/>
    <w:rsid w:val="00BE0A4E"/>
    <w:rsid w:val="00BE1553"/>
    <w:rsid w:val="00BE2797"/>
    <w:rsid w:val="00BE3BE1"/>
    <w:rsid w:val="00BE4EC9"/>
    <w:rsid w:val="00BE631E"/>
    <w:rsid w:val="00BE7B83"/>
    <w:rsid w:val="00BE7D8B"/>
    <w:rsid w:val="00BF0BD4"/>
    <w:rsid w:val="00BF0CCF"/>
    <w:rsid w:val="00BF0FC5"/>
    <w:rsid w:val="00BF10BC"/>
    <w:rsid w:val="00BF21AC"/>
    <w:rsid w:val="00BF2E53"/>
    <w:rsid w:val="00BF3133"/>
    <w:rsid w:val="00BF3669"/>
    <w:rsid w:val="00BF3C0D"/>
    <w:rsid w:val="00BF711C"/>
    <w:rsid w:val="00BF7C74"/>
    <w:rsid w:val="00C00AD8"/>
    <w:rsid w:val="00C00ED8"/>
    <w:rsid w:val="00C0208F"/>
    <w:rsid w:val="00C02367"/>
    <w:rsid w:val="00C02E65"/>
    <w:rsid w:val="00C03309"/>
    <w:rsid w:val="00C067D5"/>
    <w:rsid w:val="00C072FE"/>
    <w:rsid w:val="00C12E39"/>
    <w:rsid w:val="00C1339A"/>
    <w:rsid w:val="00C14164"/>
    <w:rsid w:val="00C15D8E"/>
    <w:rsid w:val="00C17012"/>
    <w:rsid w:val="00C178FB"/>
    <w:rsid w:val="00C214B4"/>
    <w:rsid w:val="00C22B28"/>
    <w:rsid w:val="00C22B5A"/>
    <w:rsid w:val="00C24077"/>
    <w:rsid w:val="00C257B7"/>
    <w:rsid w:val="00C272E8"/>
    <w:rsid w:val="00C311EC"/>
    <w:rsid w:val="00C320C0"/>
    <w:rsid w:val="00C33359"/>
    <w:rsid w:val="00C348D6"/>
    <w:rsid w:val="00C35389"/>
    <w:rsid w:val="00C365E7"/>
    <w:rsid w:val="00C36E34"/>
    <w:rsid w:val="00C404EE"/>
    <w:rsid w:val="00C40D2D"/>
    <w:rsid w:val="00C40FC3"/>
    <w:rsid w:val="00C4171B"/>
    <w:rsid w:val="00C42689"/>
    <w:rsid w:val="00C42988"/>
    <w:rsid w:val="00C42BD4"/>
    <w:rsid w:val="00C43547"/>
    <w:rsid w:val="00C43807"/>
    <w:rsid w:val="00C43FF0"/>
    <w:rsid w:val="00C44641"/>
    <w:rsid w:val="00C45EF5"/>
    <w:rsid w:val="00C46B7E"/>
    <w:rsid w:val="00C50A4E"/>
    <w:rsid w:val="00C50CE4"/>
    <w:rsid w:val="00C51A73"/>
    <w:rsid w:val="00C520B1"/>
    <w:rsid w:val="00C522D6"/>
    <w:rsid w:val="00C53BBB"/>
    <w:rsid w:val="00C54020"/>
    <w:rsid w:val="00C5406F"/>
    <w:rsid w:val="00C545C5"/>
    <w:rsid w:val="00C55566"/>
    <w:rsid w:val="00C60237"/>
    <w:rsid w:val="00C6038F"/>
    <w:rsid w:val="00C61CE2"/>
    <w:rsid w:val="00C61D4B"/>
    <w:rsid w:val="00C62B0A"/>
    <w:rsid w:val="00C63F08"/>
    <w:rsid w:val="00C640FE"/>
    <w:rsid w:val="00C6528C"/>
    <w:rsid w:val="00C655E5"/>
    <w:rsid w:val="00C661E8"/>
    <w:rsid w:val="00C6648F"/>
    <w:rsid w:val="00C70084"/>
    <w:rsid w:val="00C70C3C"/>
    <w:rsid w:val="00C7235B"/>
    <w:rsid w:val="00C72E18"/>
    <w:rsid w:val="00C731AD"/>
    <w:rsid w:val="00C73553"/>
    <w:rsid w:val="00C7380B"/>
    <w:rsid w:val="00C74421"/>
    <w:rsid w:val="00C7542D"/>
    <w:rsid w:val="00C75F2F"/>
    <w:rsid w:val="00C75FEE"/>
    <w:rsid w:val="00C76F1D"/>
    <w:rsid w:val="00C77202"/>
    <w:rsid w:val="00C77D26"/>
    <w:rsid w:val="00C80BDF"/>
    <w:rsid w:val="00C84D39"/>
    <w:rsid w:val="00C85277"/>
    <w:rsid w:val="00C8562B"/>
    <w:rsid w:val="00C85B9D"/>
    <w:rsid w:val="00C85D76"/>
    <w:rsid w:val="00C85DF7"/>
    <w:rsid w:val="00C869A3"/>
    <w:rsid w:val="00C873AC"/>
    <w:rsid w:val="00C906C6"/>
    <w:rsid w:val="00C93462"/>
    <w:rsid w:val="00C94384"/>
    <w:rsid w:val="00C94A34"/>
    <w:rsid w:val="00C94C2B"/>
    <w:rsid w:val="00C96860"/>
    <w:rsid w:val="00C96F79"/>
    <w:rsid w:val="00C97146"/>
    <w:rsid w:val="00C97CF9"/>
    <w:rsid w:val="00CA0642"/>
    <w:rsid w:val="00CA17DD"/>
    <w:rsid w:val="00CA1863"/>
    <w:rsid w:val="00CA192A"/>
    <w:rsid w:val="00CA26CE"/>
    <w:rsid w:val="00CA391D"/>
    <w:rsid w:val="00CA3ACD"/>
    <w:rsid w:val="00CA4F8B"/>
    <w:rsid w:val="00CA519F"/>
    <w:rsid w:val="00CB09DA"/>
    <w:rsid w:val="00CB0BD9"/>
    <w:rsid w:val="00CB1CAC"/>
    <w:rsid w:val="00CB1D87"/>
    <w:rsid w:val="00CB1DE8"/>
    <w:rsid w:val="00CB1E3B"/>
    <w:rsid w:val="00CB1F1D"/>
    <w:rsid w:val="00CB4212"/>
    <w:rsid w:val="00CB600D"/>
    <w:rsid w:val="00CB646D"/>
    <w:rsid w:val="00CB6F29"/>
    <w:rsid w:val="00CB71F8"/>
    <w:rsid w:val="00CC26DB"/>
    <w:rsid w:val="00CC300C"/>
    <w:rsid w:val="00CC3373"/>
    <w:rsid w:val="00CC35AE"/>
    <w:rsid w:val="00CC36D2"/>
    <w:rsid w:val="00CC3DAA"/>
    <w:rsid w:val="00CC43B0"/>
    <w:rsid w:val="00CC49C7"/>
    <w:rsid w:val="00CC4C2C"/>
    <w:rsid w:val="00CC5057"/>
    <w:rsid w:val="00CC5496"/>
    <w:rsid w:val="00CC5603"/>
    <w:rsid w:val="00CC587F"/>
    <w:rsid w:val="00CC6279"/>
    <w:rsid w:val="00CC79F7"/>
    <w:rsid w:val="00CD078F"/>
    <w:rsid w:val="00CD121E"/>
    <w:rsid w:val="00CD1922"/>
    <w:rsid w:val="00CD28F0"/>
    <w:rsid w:val="00CD3ED8"/>
    <w:rsid w:val="00CD4CC5"/>
    <w:rsid w:val="00CD736C"/>
    <w:rsid w:val="00CD761D"/>
    <w:rsid w:val="00CD76B5"/>
    <w:rsid w:val="00CE2346"/>
    <w:rsid w:val="00CE2B02"/>
    <w:rsid w:val="00CE4F2D"/>
    <w:rsid w:val="00CE6A8A"/>
    <w:rsid w:val="00CE6F0F"/>
    <w:rsid w:val="00CE6F23"/>
    <w:rsid w:val="00CE7C7C"/>
    <w:rsid w:val="00CF002F"/>
    <w:rsid w:val="00CF0246"/>
    <w:rsid w:val="00CF0C02"/>
    <w:rsid w:val="00CF1899"/>
    <w:rsid w:val="00CF2483"/>
    <w:rsid w:val="00CF24E2"/>
    <w:rsid w:val="00CF393D"/>
    <w:rsid w:val="00CF4ABD"/>
    <w:rsid w:val="00CF4BC8"/>
    <w:rsid w:val="00CF5A53"/>
    <w:rsid w:val="00CF5D28"/>
    <w:rsid w:val="00CF6942"/>
    <w:rsid w:val="00CF6F1E"/>
    <w:rsid w:val="00D001F9"/>
    <w:rsid w:val="00D0036E"/>
    <w:rsid w:val="00D00BB7"/>
    <w:rsid w:val="00D01979"/>
    <w:rsid w:val="00D01EAD"/>
    <w:rsid w:val="00D035B9"/>
    <w:rsid w:val="00D060FF"/>
    <w:rsid w:val="00D064E8"/>
    <w:rsid w:val="00D06572"/>
    <w:rsid w:val="00D065CD"/>
    <w:rsid w:val="00D06A32"/>
    <w:rsid w:val="00D07D93"/>
    <w:rsid w:val="00D112E1"/>
    <w:rsid w:val="00D12325"/>
    <w:rsid w:val="00D14487"/>
    <w:rsid w:val="00D15E7E"/>
    <w:rsid w:val="00D162EF"/>
    <w:rsid w:val="00D17F03"/>
    <w:rsid w:val="00D20016"/>
    <w:rsid w:val="00D207A7"/>
    <w:rsid w:val="00D20CD6"/>
    <w:rsid w:val="00D20E00"/>
    <w:rsid w:val="00D21DBE"/>
    <w:rsid w:val="00D2279F"/>
    <w:rsid w:val="00D22AF1"/>
    <w:rsid w:val="00D22E93"/>
    <w:rsid w:val="00D242DA"/>
    <w:rsid w:val="00D26448"/>
    <w:rsid w:val="00D264CE"/>
    <w:rsid w:val="00D26670"/>
    <w:rsid w:val="00D27137"/>
    <w:rsid w:val="00D275CA"/>
    <w:rsid w:val="00D27B8B"/>
    <w:rsid w:val="00D31B6E"/>
    <w:rsid w:val="00D3232B"/>
    <w:rsid w:val="00D3239F"/>
    <w:rsid w:val="00D324A4"/>
    <w:rsid w:val="00D3250C"/>
    <w:rsid w:val="00D328F6"/>
    <w:rsid w:val="00D3462C"/>
    <w:rsid w:val="00D35198"/>
    <w:rsid w:val="00D3584B"/>
    <w:rsid w:val="00D376B1"/>
    <w:rsid w:val="00D376F7"/>
    <w:rsid w:val="00D41004"/>
    <w:rsid w:val="00D42240"/>
    <w:rsid w:val="00D427C3"/>
    <w:rsid w:val="00D42EB8"/>
    <w:rsid w:val="00D44922"/>
    <w:rsid w:val="00D44932"/>
    <w:rsid w:val="00D45CF4"/>
    <w:rsid w:val="00D46111"/>
    <w:rsid w:val="00D47953"/>
    <w:rsid w:val="00D47C16"/>
    <w:rsid w:val="00D502AF"/>
    <w:rsid w:val="00D50709"/>
    <w:rsid w:val="00D50764"/>
    <w:rsid w:val="00D50C12"/>
    <w:rsid w:val="00D518FF"/>
    <w:rsid w:val="00D51A77"/>
    <w:rsid w:val="00D52751"/>
    <w:rsid w:val="00D53010"/>
    <w:rsid w:val="00D5354F"/>
    <w:rsid w:val="00D53649"/>
    <w:rsid w:val="00D53830"/>
    <w:rsid w:val="00D54695"/>
    <w:rsid w:val="00D54FB3"/>
    <w:rsid w:val="00D55518"/>
    <w:rsid w:val="00D55889"/>
    <w:rsid w:val="00D56B5F"/>
    <w:rsid w:val="00D57A3F"/>
    <w:rsid w:val="00D57AF0"/>
    <w:rsid w:val="00D57DCF"/>
    <w:rsid w:val="00D61FC2"/>
    <w:rsid w:val="00D62ECD"/>
    <w:rsid w:val="00D630F6"/>
    <w:rsid w:val="00D64426"/>
    <w:rsid w:val="00D645A3"/>
    <w:rsid w:val="00D65D78"/>
    <w:rsid w:val="00D664F0"/>
    <w:rsid w:val="00D67BC5"/>
    <w:rsid w:val="00D7021B"/>
    <w:rsid w:val="00D7073E"/>
    <w:rsid w:val="00D70D33"/>
    <w:rsid w:val="00D71749"/>
    <w:rsid w:val="00D73077"/>
    <w:rsid w:val="00D736A2"/>
    <w:rsid w:val="00D73C57"/>
    <w:rsid w:val="00D742FF"/>
    <w:rsid w:val="00D754C4"/>
    <w:rsid w:val="00D758B3"/>
    <w:rsid w:val="00D76ADC"/>
    <w:rsid w:val="00D77413"/>
    <w:rsid w:val="00D80F4C"/>
    <w:rsid w:val="00D81F10"/>
    <w:rsid w:val="00D8201E"/>
    <w:rsid w:val="00D82E0A"/>
    <w:rsid w:val="00D84A57"/>
    <w:rsid w:val="00D84C3B"/>
    <w:rsid w:val="00D874DF"/>
    <w:rsid w:val="00D8764A"/>
    <w:rsid w:val="00D87A12"/>
    <w:rsid w:val="00D90C06"/>
    <w:rsid w:val="00D918F4"/>
    <w:rsid w:val="00D92157"/>
    <w:rsid w:val="00D930E1"/>
    <w:rsid w:val="00D9415C"/>
    <w:rsid w:val="00D942CC"/>
    <w:rsid w:val="00D94ADE"/>
    <w:rsid w:val="00D94D87"/>
    <w:rsid w:val="00D962DC"/>
    <w:rsid w:val="00D96E0A"/>
    <w:rsid w:val="00D97BB5"/>
    <w:rsid w:val="00DA180C"/>
    <w:rsid w:val="00DA1EF7"/>
    <w:rsid w:val="00DA3E7B"/>
    <w:rsid w:val="00DA451D"/>
    <w:rsid w:val="00DA56DB"/>
    <w:rsid w:val="00DA6452"/>
    <w:rsid w:val="00DA6C81"/>
    <w:rsid w:val="00DA6FE9"/>
    <w:rsid w:val="00DA7925"/>
    <w:rsid w:val="00DA7FF0"/>
    <w:rsid w:val="00DB09E2"/>
    <w:rsid w:val="00DB0AB8"/>
    <w:rsid w:val="00DB0D2A"/>
    <w:rsid w:val="00DB11CD"/>
    <w:rsid w:val="00DB1DAB"/>
    <w:rsid w:val="00DB39D4"/>
    <w:rsid w:val="00DB3A47"/>
    <w:rsid w:val="00DB4E06"/>
    <w:rsid w:val="00DB5636"/>
    <w:rsid w:val="00DB6A80"/>
    <w:rsid w:val="00DB6C06"/>
    <w:rsid w:val="00DB7B06"/>
    <w:rsid w:val="00DC0CB2"/>
    <w:rsid w:val="00DC23A1"/>
    <w:rsid w:val="00DC2CCF"/>
    <w:rsid w:val="00DC3A9D"/>
    <w:rsid w:val="00DC3FF5"/>
    <w:rsid w:val="00DC48E1"/>
    <w:rsid w:val="00DC6C1E"/>
    <w:rsid w:val="00DC708C"/>
    <w:rsid w:val="00DC7951"/>
    <w:rsid w:val="00DD0F95"/>
    <w:rsid w:val="00DD1C4B"/>
    <w:rsid w:val="00DD1F7B"/>
    <w:rsid w:val="00DD229E"/>
    <w:rsid w:val="00DD3029"/>
    <w:rsid w:val="00DD3F3F"/>
    <w:rsid w:val="00DD44C7"/>
    <w:rsid w:val="00DD55E0"/>
    <w:rsid w:val="00DD5E12"/>
    <w:rsid w:val="00DD6A61"/>
    <w:rsid w:val="00DE0C66"/>
    <w:rsid w:val="00DE1904"/>
    <w:rsid w:val="00DE2589"/>
    <w:rsid w:val="00DE3202"/>
    <w:rsid w:val="00DE3DBB"/>
    <w:rsid w:val="00DE43A2"/>
    <w:rsid w:val="00DE4A74"/>
    <w:rsid w:val="00DE4B05"/>
    <w:rsid w:val="00DE541C"/>
    <w:rsid w:val="00DE5F40"/>
    <w:rsid w:val="00DE737B"/>
    <w:rsid w:val="00DF0587"/>
    <w:rsid w:val="00DF100B"/>
    <w:rsid w:val="00DF23CA"/>
    <w:rsid w:val="00DF2929"/>
    <w:rsid w:val="00DF2ED3"/>
    <w:rsid w:val="00DF3B76"/>
    <w:rsid w:val="00DF4359"/>
    <w:rsid w:val="00DF4D53"/>
    <w:rsid w:val="00DF4FA9"/>
    <w:rsid w:val="00DF573B"/>
    <w:rsid w:val="00DF7742"/>
    <w:rsid w:val="00DF7751"/>
    <w:rsid w:val="00E031BB"/>
    <w:rsid w:val="00E0424A"/>
    <w:rsid w:val="00E0520E"/>
    <w:rsid w:val="00E0576C"/>
    <w:rsid w:val="00E0626B"/>
    <w:rsid w:val="00E068BC"/>
    <w:rsid w:val="00E073F0"/>
    <w:rsid w:val="00E10761"/>
    <w:rsid w:val="00E108E4"/>
    <w:rsid w:val="00E11D7A"/>
    <w:rsid w:val="00E11EEB"/>
    <w:rsid w:val="00E128F2"/>
    <w:rsid w:val="00E13883"/>
    <w:rsid w:val="00E13EE4"/>
    <w:rsid w:val="00E15935"/>
    <w:rsid w:val="00E16463"/>
    <w:rsid w:val="00E20921"/>
    <w:rsid w:val="00E20AD3"/>
    <w:rsid w:val="00E20CCC"/>
    <w:rsid w:val="00E239D1"/>
    <w:rsid w:val="00E26727"/>
    <w:rsid w:val="00E26970"/>
    <w:rsid w:val="00E27791"/>
    <w:rsid w:val="00E30F2D"/>
    <w:rsid w:val="00E313D4"/>
    <w:rsid w:val="00E319DB"/>
    <w:rsid w:val="00E31AFC"/>
    <w:rsid w:val="00E320AF"/>
    <w:rsid w:val="00E33B0B"/>
    <w:rsid w:val="00E3409E"/>
    <w:rsid w:val="00E34F76"/>
    <w:rsid w:val="00E372D9"/>
    <w:rsid w:val="00E37BE5"/>
    <w:rsid w:val="00E410F7"/>
    <w:rsid w:val="00E41A27"/>
    <w:rsid w:val="00E4285A"/>
    <w:rsid w:val="00E430C7"/>
    <w:rsid w:val="00E45832"/>
    <w:rsid w:val="00E4608B"/>
    <w:rsid w:val="00E461D3"/>
    <w:rsid w:val="00E469B2"/>
    <w:rsid w:val="00E47767"/>
    <w:rsid w:val="00E501D3"/>
    <w:rsid w:val="00E52C67"/>
    <w:rsid w:val="00E53A01"/>
    <w:rsid w:val="00E54961"/>
    <w:rsid w:val="00E564C4"/>
    <w:rsid w:val="00E567C9"/>
    <w:rsid w:val="00E57446"/>
    <w:rsid w:val="00E604C4"/>
    <w:rsid w:val="00E60809"/>
    <w:rsid w:val="00E60991"/>
    <w:rsid w:val="00E61300"/>
    <w:rsid w:val="00E614F2"/>
    <w:rsid w:val="00E635B9"/>
    <w:rsid w:val="00E65D15"/>
    <w:rsid w:val="00E66C49"/>
    <w:rsid w:val="00E67EE5"/>
    <w:rsid w:val="00E7013A"/>
    <w:rsid w:val="00E74F5D"/>
    <w:rsid w:val="00E76034"/>
    <w:rsid w:val="00E769A9"/>
    <w:rsid w:val="00E80371"/>
    <w:rsid w:val="00E80440"/>
    <w:rsid w:val="00E80515"/>
    <w:rsid w:val="00E81752"/>
    <w:rsid w:val="00E817E0"/>
    <w:rsid w:val="00E819FB"/>
    <w:rsid w:val="00E82B3D"/>
    <w:rsid w:val="00E82EE4"/>
    <w:rsid w:val="00E82F13"/>
    <w:rsid w:val="00E831E7"/>
    <w:rsid w:val="00E843B5"/>
    <w:rsid w:val="00E84A3B"/>
    <w:rsid w:val="00E85307"/>
    <w:rsid w:val="00E86508"/>
    <w:rsid w:val="00E87E13"/>
    <w:rsid w:val="00E907E4"/>
    <w:rsid w:val="00E90A24"/>
    <w:rsid w:val="00E90C34"/>
    <w:rsid w:val="00E90F01"/>
    <w:rsid w:val="00E919AC"/>
    <w:rsid w:val="00E91AC8"/>
    <w:rsid w:val="00E946A6"/>
    <w:rsid w:val="00E947E4"/>
    <w:rsid w:val="00E94C9F"/>
    <w:rsid w:val="00E95564"/>
    <w:rsid w:val="00E96A29"/>
    <w:rsid w:val="00E96B28"/>
    <w:rsid w:val="00E96FE6"/>
    <w:rsid w:val="00E97477"/>
    <w:rsid w:val="00E97652"/>
    <w:rsid w:val="00E9765F"/>
    <w:rsid w:val="00EA0A5C"/>
    <w:rsid w:val="00EA0AD2"/>
    <w:rsid w:val="00EA0CF0"/>
    <w:rsid w:val="00EA1D43"/>
    <w:rsid w:val="00EA1FAB"/>
    <w:rsid w:val="00EA20B0"/>
    <w:rsid w:val="00EA4A9D"/>
    <w:rsid w:val="00EA4EC9"/>
    <w:rsid w:val="00EA5E0F"/>
    <w:rsid w:val="00EA6FE4"/>
    <w:rsid w:val="00EA7723"/>
    <w:rsid w:val="00EA7F4C"/>
    <w:rsid w:val="00EB1D47"/>
    <w:rsid w:val="00EB2146"/>
    <w:rsid w:val="00EB2317"/>
    <w:rsid w:val="00EB279B"/>
    <w:rsid w:val="00EB2ABB"/>
    <w:rsid w:val="00EB3631"/>
    <w:rsid w:val="00EB55CA"/>
    <w:rsid w:val="00EB57B2"/>
    <w:rsid w:val="00EB584C"/>
    <w:rsid w:val="00EB5D88"/>
    <w:rsid w:val="00EB7307"/>
    <w:rsid w:val="00EC14B0"/>
    <w:rsid w:val="00EC204E"/>
    <w:rsid w:val="00EC249E"/>
    <w:rsid w:val="00EC2CFF"/>
    <w:rsid w:val="00EC440C"/>
    <w:rsid w:val="00EC4D33"/>
    <w:rsid w:val="00EC5F2F"/>
    <w:rsid w:val="00EC61E4"/>
    <w:rsid w:val="00EC651E"/>
    <w:rsid w:val="00EC692E"/>
    <w:rsid w:val="00EC745E"/>
    <w:rsid w:val="00EC7C6D"/>
    <w:rsid w:val="00EC7EAF"/>
    <w:rsid w:val="00ED1759"/>
    <w:rsid w:val="00ED27C3"/>
    <w:rsid w:val="00ED33AE"/>
    <w:rsid w:val="00ED3775"/>
    <w:rsid w:val="00ED427D"/>
    <w:rsid w:val="00ED4A6D"/>
    <w:rsid w:val="00ED61E6"/>
    <w:rsid w:val="00ED6D4A"/>
    <w:rsid w:val="00ED6E42"/>
    <w:rsid w:val="00ED738C"/>
    <w:rsid w:val="00ED7918"/>
    <w:rsid w:val="00ED7FD3"/>
    <w:rsid w:val="00EE078B"/>
    <w:rsid w:val="00EE3663"/>
    <w:rsid w:val="00EE41C4"/>
    <w:rsid w:val="00EE4A40"/>
    <w:rsid w:val="00EE76A9"/>
    <w:rsid w:val="00EE799E"/>
    <w:rsid w:val="00EE7C7E"/>
    <w:rsid w:val="00EE7CA8"/>
    <w:rsid w:val="00EE7FA7"/>
    <w:rsid w:val="00EF1093"/>
    <w:rsid w:val="00EF1FCB"/>
    <w:rsid w:val="00EF21C3"/>
    <w:rsid w:val="00EF2E6B"/>
    <w:rsid w:val="00EF58AE"/>
    <w:rsid w:val="00EF6091"/>
    <w:rsid w:val="00EF614C"/>
    <w:rsid w:val="00F0030E"/>
    <w:rsid w:val="00F00405"/>
    <w:rsid w:val="00F00CD1"/>
    <w:rsid w:val="00F01E6B"/>
    <w:rsid w:val="00F0241C"/>
    <w:rsid w:val="00F04091"/>
    <w:rsid w:val="00F05759"/>
    <w:rsid w:val="00F10CB9"/>
    <w:rsid w:val="00F110D5"/>
    <w:rsid w:val="00F12351"/>
    <w:rsid w:val="00F14F4B"/>
    <w:rsid w:val="00F16739"/>
    <w:rsid w:val="00F16DE2"/>
    <w:rsid w:val="00F17C5F"/>
    <w:rsid w:val="00F200EF"/>
    <w:rsid w:val="00F2052B"/>
    <w:rsid w:val="00F210C7"/>
    <w:rsid w:val="00F213FF"/>
    <w:rsid w:val="00F2260F"/>
    <w:rsid w:val="00F242AD"/>
    <w:rsid w:val="00F247F2"/>
    <w:rsid w:val="00F252A8"/>
    <w:rsid w:val="00F2608D"/>
    <w:rsid w:val="00F2619B"/>
    <w:rsid w:val="00F265F7"/>
    <w:rsid w:val="00F27A9C"/>
    <w:rsid w:val="00F27C15"/>
    <w:rsid w:val="00F27FA6"/>
    <w:rsid w:val="00F30B70"/>
    <w:rsid w:val="00F30C74"/>
    <w:rsid w:val="00F31399"/>
    <w:rsid w:val="00F33DC8"/>
    <w:rsid w:val="00F34350"/>
    <w:rsid w:val="00F34444"/>
    <w:rsid w:val="00F34F36"/>
    <w:rsid w:val="00F360A6"/>
    <w:rsid w:val="00F36F33"/>
    <w:rsid w:val="00F4065A"/>
    <w:rsid w:val="00F40F19"/>
    <w:rsid w:val="00F4275C"/>
    <w:rsid w:val="00F44928"/>
    <w:rsid w:val="00F45693"/>
    <w:rsid w:val="00F47983"/>
    <w:rsid w:val="00F47C8B"/>
    <w:rsid w:val="00F506DF"/>
    <w:rsid w:val="00F51F04"/>
    <w:rsid w:val="00F52339"/>
    <w:rsid w:val="00F5277A"/>
    <w:rsid w:val="00F532E8"/>
    <w:rsid w:val="00F537FF"/>
    <w:rsid w:val="00F53860"/>
    <w:rsid w:val="00F54405"/>
    <w:rsid w:val="00F560FE"/>
    <w:rsid w:val="00F605B6"/>
    <w:rsid w:val="00F6111C"/>
    <w:rsid w:val="00F613EC"/>
    <w:rsid w:val="00F614C0"/>
    <w:rsid w:val="00F61647"/>
    <w:rsid w:val="00F61F5F"/>
    <w:rsid w:val="00F623D2"/>
    <w:rsid w:val="00F62A65"/>
    <w:rsid w:val="00F657CF"/>
    <w:rsid w:val="00F66A00"/>
    <w:rsid w:val="00F70CD3"/>
    <w:rsid w:val="00F713A3"/>
    <w:rsid w:val="00F719B0"/>
    <w:rsid w:val="00F71A8F"/>
    <w:rsid w:val="00F730C0"/>
    <w:rsid w:val="00F73C02"/>
    <w:rsid w:val="00F73E5A"/>
    <w:rsid w:val="00F75330"/>
    <w:rsid w:val="00F76410"/>
    <w:rsid w:val="00F76BD9"/>
    <w:rsid w:val="00F80318"/>
    <w:rsid w:val="00F80703"/>
    <w:rsid w:val="00F80948"/>
    <w:rsid w:val="00F80A7F"/>
    <w:rsid w:val="00F81387"/>
    <w:rsid w:val="00F81E3D"/>
    <w:rsid w:val="00F8214F"/>
    <w:rsid w:val="00F822E3"/>
    <w:rsid w:val="00F82866"/>
    <w:rsid w:val="00F83CD4"/>
    <w:rsid w:val="00F84421"/>
    <w:rsid w:val="00F8449B"/>
    <w:rsid w:val="00F84D8D"/>
    <w:rsid w:val="00F85691"/>
    <w:rsid w:val="00F87032"/>
    <w:rsid w:val="00F87094"/>
    <w:rsid w:val="00F87AB3"/>
    <w:rsid w:val="00F913DC"/>
    <w:rsid w:val="00F917FE"/>
    <w:rsid w:val="00F91DDA"/>
    <w:rsid w:val="00F9397A"/>
    <w:rsid w:val="00F93A37"/>
    <w:rsid w:val="00F94182"/>
    <w:rsid w:val="00F944D9"/>
    <w:rsid w:val="00F94DB3"/>
    <w:rsid w:val="00F9606C"/>
    <w:rsid w:val="00F96500"/>
    <w:rsid w:val="00FA2C70"/>
    <w:rsid w:val="00FA3F80"/>
    <w:rsid w:val="00FA413A"/>
    <w:rsid w:val="00FA4144"/>
    <w:rsid w:val="00FA447A"/>
    <w:rsid w:val="00FA4DDF"/>
    <w:rsid w:val="00FA5208"/>
    <w:rsid w:val="00FA68DC"/>
    <w:rsid w:val="00FA6E7F"/>
    <w:rsid w:val="00FA7114"/>
    <w:rsid w:val="00FB0826"/>
    <w:rsid w:val="00FB2379"/>
    <w:rsid w:val="00FB31C3"/>
    <w:rsid w:val="00FB4A7A"/>
    <w:rsid w:val="00FB4B8A"/>
    <w:rsid w:val="00FB5152"/>
    <w:rsid w:val="00FB59FD"/>
    <w:rsid w:val="00FB680E"/>
    <w:rsid w:val="00FB7130"/>
    <w:rsid w:val="00FC0065"/>
    <w:rsid w:val="00FC3AEE"/>
    <w:rsid w:val="00FC6238"/>
    <w:rsid w:val="00FC78AD"/>
    <w:rsid w:val="00FD0D70"/>
    <w:rsid w:val="00FD1E00"/>
    <w:rsid w:val="00FD33FC"/>
    <w:rsid w:val="00FD3730"/>
    <w:rsid w:val="00FD3A9B"/>
    <w:rsid w:val="00FD3ADE"/>
    <w:rsid w:val="00FD3B08"/>
    <w:rsid w:val="00FD4806"/>
    <w:rsid w:val="00FD4BA4"/>
    <w:rsid w:val="00FD534E"/>
    <w:rsid w:val="00FD56C7"/>
    <w:rsid w:val="00FD5CBB"/>
    <w:rsid w:val="00FD6B74"/>
    <w:rsid w:val="00FD70AE"/>
    <w:rsid w:val="00FE002E"/>
    <w:rsid w:val="00FE04B0"/>
    <w:rsid w:val="00FE2398"/>
    <w:rsid w:val="00FE2E54"/>
    <w:rsid w:val="00FE2F15"/>
    <w:rsid w:val="00FE515A"/>
    <w:rsid w:val="00FE5624"/>
    <w:rsid w:val="00FE5D2C"/>
    <w:rsid w:val="00FE5FBF"/>
    <w:rsid w:val="00FE6C25"/>
    <w:rsid w:val="00FF000F"/>
    <w:rsid w:val="00FF033A"/>
    <w:rsid w:val="00FF035A"/>
    <w:rsid w:val="00FF0964"/>
    <w:rsid w:val="00FF1448"/>
    <w:rsid w:val="00FF16F2"/>
    <w:rsid w:val="00FF1D24"/>
    <w:rsid w:val="00FF2B42"/>
    <w:rsid w:val="00FF3B7F"/>
    <w:rsid w:val="00FF4139"/>
    <w:rsid w:val="00FF6822"/>
    <w:rsid w:val="00FF73D0"/>
    <w:rsid w:val="088190D0"/>
    <w:rsid w:val="0FDC08DB"/>
    <w:rsid w:val="14D5A090"/>
    <w:rsid w:val="17124F94"/>
    <w:rsid w:val="1A928BB7"/>
    <w:rsid w:val="1CEFF1BD"/>
    <w:rsid w:val="1FB8FE56"/>
    <w:rsid w:val="34B8A9D4"/>
    <w:rsid w:val="4EBEF9C7"/>
    <w:rsid w:val="50F6EDAA"/>
    <w:rsid w:val="6BED8D6C"/>
    <w:rsid w:val="6ED72757"/>
    <w:rsid w:val="7193A0B0"/>
    <w:rsid w:val="75131494"/>
    <w:rsid w:val="76DD44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42D7AF92"/>
  <w15:docId w15:val="{BDF94520-9BF6-4533-8EE6-6EDBD8BF2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rsid w:val="00AB6F48"/>
    <w:rPr>
      <w:rFonts w:ascii="Arial" w:hAnsi="Arial"/>
      <w:b/>
      <w:lang w:val="en-GB"/>
    </w:rPr>
  </w:style>
  <w:style w:type="character" w:customStyle="1" w:styleId="TACChar">
    <w:name w:val="TAC Char"/>
    <w:link w:val="TAC"/>
    <w:locked/>
    <w:rsid w:val="00AB6F48"/>
    <w:rPr>
      <w:rFonts w:ascii="Arial" w:hAnsi="Arial"/>
      <w:sz w:val="18"/>
      <w:lang w:val="en-GB"/>
    </w:rPr>
  </w:style>
  <w:style w:type="character" w:customStyle="1" w:styleId="TAHCar">
    <w:name w:val="TAH Car"/>
    <w:link w:val="TAH"/>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C214B4"/>
    <w:rPr>
      <w:rFonts w:ascii="Arial" w:hAnsi="Arial"/>
      <w:sz w:val="32"/>
      <w:lang w:val="en-GB"/>
    </w:rPr>
  </w:style>
  <w:style w:type="paragraph" w:customStyle="1" w:styleId="bullet">
    <w:name w:val="bullet"/>
    <w:basedOn w:val="ListParagraph"/>
    <w:link w:val="bulletChar"/>
    <w:qFormat/>
    <w:rsid w:val="00B42D9C"/>
    <w:pPr>
      <w:widowControl w:val="0"/>
      <w:numPr>
        <w:numId w:val="7"/>
      </w:numPr>
      <w:spacing w:after="60"/>
      <w:ind w:left="720"/>
      <w:jc w:val="both"/>
    </w:pPr>
    <w:rPr>
      <w:rFonts w:eastAsia="Times New Roman"/>
      <w:kern w:val="2"/>
      <w:sz w:val="20"/>
      <w:lang w:val="en-GB" w:eastAsia="en-US"/>
    </w:rPr>
  </w:style>
  <w:style w:type="character" w:customStyle="1" w:styleId="bulletChar">
    <w:name w:val="bullet Char"/>
    <w:link w:val="bullet"/>
    <w:rsid w:val="00B42D9C"/>
    <w:rPr>
      <w:rFonts w:ascii="Times New Roman" w:eastAsia="Times New Roman" w:hAnsi="Times New Roman"/>
      <w:kern w:val="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57350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8101104">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95192988">
          <w:marLeft w:val="547"/>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4415807">
          <w:marLeft w:val="1166"/>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420026613">
          <w:marLeft w:val="547"/>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2779858">
          <w:marLeft w:val="252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725837710">
          <w:marLeft w:val="547"/>
          <w:marRight w:val="0"/>
          <w:marTop w:val="0"/>
          <w:marBottom w:val="0"/>
          <w:divBdr>
            <w:top w:val="none" w:sz="0" w:space="0" w:color="auto"/>
            <w:left w:val="none" w:sz="0" w:space="0" w:color="auto"/>
            <w:bottom w:val="none" w:sz="0" w:space="0" w:color="auto"/>
            <w:right w:val="none" w:sz="0" w:space="0" w:color="auto"/>
          </w:divBdr>
        </w:div>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725063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39398830">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 w:id="6493603">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1046955652">
          <w:marLeft w:val="547"/>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 w:id="267005945">
          <w:marLeft w:val="1166"/>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1918512270">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220361431">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248271233">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90593072">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 w:id="352390611">
          <w:marLeft w:val="360"/>
          <w:marRight w:val="0"/>
          <w:marTop w:val="0"/>
          <w:marBottom w:val="0"/>
          <w:divBdr>
            <w:top w:val="none" w:sz="0" w:space="0" w:color="auto"/>
            <w:left w:val="none" w:sz="0" w:space="0" w:color="auto"/>
            <w:bottom w:val="none" w:sz="0" w:space="0" w:color="auto"/>
            <w:right w:val="none" w:sz="0" w:space="0" w:color="auto"/>
          </w:divBdr>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9343676">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cid:image001.png@01D3E78D.65414E20" TargetMode="Externa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10.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5AIRPNAIUNRU-1830940522-4306</_dlc_DocId>
    <_dlc_DocIdUrl xmlns="71c5aaf6-e6ce-465b-b873-5148d2a4c105">
      <Url>https://nokia.sharepoint.com/sites/c5g/5gradio/_layouts/15/DocIdRedir.aspx?ID=5AIRPNAIUNRU-1830940522-4306</Url>
      <Description>5AIRPNAIUNRU-1830940522-4306</Description>
    </_dlc_DocIdUrl>
    <Information xmlns="3b34c8f0-1ef5-4d1e-bb66-517ce7fe7356" xsi:nil="true"/>
    <Associated_x0020_Task xmlns="3b34c8f0-1ef5-4d1e-bb66-517ce7fe7356"/>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babf6ce-2443-438c-9946-ecc878e7654a"/>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1369D201-B2C2-4DC8-A98A-70B6E586961D}">
  <ds:schemaRefs>
    <ds:schemaRef ds:uri="Microsoft.SharePoint.Taxonomy.ContentTypeSync"/>
  </ds:schemaRefs>
</ds:datastoreItem>
</file>

<file path=customXml/itemProps3.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EB04B62D-7BB8-4199-AD32-DF13B34527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C974C66-6256-4F10-B2F3-DA28766CC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7</Pages>
  <Words>2434</Words>
  <Characters>12651</Characters>
  <Application>Microsoft Office Word</Application>
  <DocSecurity>0</DocSecurity>
  <Lines>105</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15055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Tiirola, Esa (Nokia - FI/Oulu)</cp:lastModifiedBy>
  <cp:revision>3</cp:revision>
  <cp:lastPrinted>2016-06-20T11:35:00Z</cp:lastPrinted>
  <dcterms:created xsi:type="dcterms:W3CDTF">2018-11-02T07:08:00Z</dcterms:created>
  <dcterms:modified xsi:type="dcterms:W3CDTF">2018-11-02T07:10:00Z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31ab7387-2739-455e-87a9-51e294c3945b</vt:lpwstr>
  </property>
</Properties>
</file>